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69BE9" w14:textId="43244618" w:rsidR="00DA005C" w:rsidRPr="00DA005C" w:rsidRDefault="00DA005C" w:rsidP="00DA005C">
      <w:pPr>
        <w:pStyle w:val="3GPPHeader"/>
        <w:rPr>
          <w:rFonts w:ascii="Arial" w:eastAsia="MS Mincho" w:hAnsi="Arial" w:cs="Arial"/>
          <w:noProof/>
          <w:szCs w:val="22"/>
          <w:lang w:eastAsia="en-US"/>
        </w:rPr>
      </w:pPr>
      <w:r w:rsidRPr="00DA005C">
        <w:rPr>
          <w:rFonts w:ascii="Arial" w:eastAsia="MS Mincho" w:hAnsi="Arial" w:cs="Arial"/>
          <w:noProof/>
          <w:szCs w:val="22"/>
          <w:lang w:val="en-US" w:eastAsia="en-US"/>
        </w:rPr>
        <w:t>3GPP TSG-RAN WG2 Meeting #12</w:t>
      </w:r>
      <w:r w:rsidRPr="00DA005C">
        <w:rPr>
          <w:rFonts w:ascii="Arial" w:eastAsia="MS Mincho" w:hAnsi="Arial" w:cs="Arial"/>
          <w:noProof/>
          <w:szCs w:val="22"/>
          <w:lang w:eastAsia="en-US"/>
        </w:rPr>
        <w:t>6</w:t>
      </w:r>
      <w:r w:rsidRPr="00DA005C">
        <w:rPr>
          <w:rFonts w:ascii="Arial" w:eastAsia="MS Mincho" w:hAnsi="Arial" w:cs="Arial"/>
          <w:i/>
          <w:noProof/>
          <w:szCs w:val="22"/>
          <w:lang w:val="en-US" w:eastAsia="en-US"/>
        </w:rPr>
        <w:tab/>
      </w:r>
      <w:r w:rsidR="007E3847" w:rsidRPr="007E3847">
        <w:rPr>
          <w:rFonts w:ascii="Arial" w:eastAsia="MS Mincho" w:hAnsi="Arial" w:cs="Arial"/>
          <w:noProof/>
          <w:szCs w:val="22"/>
          <w:lang w:val="en-US" w:eastAsia="en-US"/>
        </w:rPr>
        <w:t>R2-2404242</w:t>
      </w:r>
    </w:p>
    <w:p w14:paraId="6E37F91B" w14:textId="77777777" w:rsidR="00DA005C" w:rsidRPr="00DA005C" w:rsidRDefault="00DA005C" w:rsidP="00DA005C">
      <w:pPr>
        <w:pStyle w:val="3GPPHeader"/>
        <w:rPr>
          <w:rFonts w:ascii="Arial" w:eastAsia="MS Mincho" w:hAnsi="Arial" w:cs="Arial"/>
          <w:noProof/>
          <w:szCs w:val="22"/>
          <w:lang w:eastAsia="en-US"/>
        </w:rPr>
      </w:pPr>
      <w:r w:rsidRPr="00DA005C">
        <w:rPr>
          <w:rFonts w:ascii="Arial" w:eastAsia="MS Mincho" w:hAnsi="Arial" w:cs="Arial"/>
          <w:noProof/>
          <w:szCs w:val="22"/>
          <w:lang w:eastAsia="en-US"/>
        </w:rPr>
        <w:t>Fukuoka, Japan, 20</w:t>
      </w:r>
      <w:r w:rsidRPr="00DA005C">
        <w:rPr>
          <w:rFonts w:ascii="Arial" w:eastAsia="MS Mincho" w:hAnsi="Arial" w:cs="Arial"/>
          <w:noProof/>
          <w:szCs w:val="22"/>
          <w:vertAlign w:val="superscript"/>
          <w:lang w:eastAsia="en-US"/>
        </w:rPr>
        <w:t>th</w:t>
      </w:r>
      <w:r w:rsidRPr="00DA005C">
        <w:rPr>
          <w:rFonts w:ascii="Arial" w:eastAsia="MS Mincho" w:hAnsi="Arial" w:cs="Arial"/>
          <w:noProof/>
          <w:szCs w:val="22"/>
          <w:lang w:eastAsia="en-US"/>
        </w:rPr>
        <w:t xml:space="preserve"> – 24</w:t>
      </w:r>
      <w:r w:rsidRPr="00DA005C">
        <w:rPr>
          <w:rFonts w:ascii="Arial" w:eastAsia="MS Mincho" w:hAnsi="Arial" w:cs="Arial"/>
          <w:noProof/>
          <w:szCs w:val="22"/>
          <w:vertAlign w:val="superscript"/>
          <w:lang w:eastAsia="en-US"/>
        </w:rPr>
        <w:t>th</w:t>
      </w:r>
      <w:r w:rsidRPr="00DA005C">
        <w:rPr>
          <w:rFonts w:ascii="Arial" w:eastAsia="MS Mincho" w:hAnsi="Arial" w:cs="Arial"/>
          <w:noProof/>
          <w:szCs w:val="22"/>
          <w:lang w:eastAsia="en-US"/>
        </w:rPr>
        <w:t xml:space="preserve"> May 2024</w:t>
      </w:r>
    </w:p>
    <w:p w14:paraId="73E64F19" w14:textId="77777777" w:rsidR="00B11EE1" w:rsidRPr="00DA005C" w:rsidRDefault="00B11EE1" w:rsidP="004F428F">
      <w:pPr>
        <w:pStyle w:val="3GPPHeader"/>
        <w:rPr>
          <w:lang w:eastAsia="en-US"/>
        </w:rPr>
      </w:pPr>
    </w:p>
    <w:p w14:paraId="65757AAD" w14:textId="1D606AE2" w:rsidR="00B11EE1" w:rsidRDefault="00B11EE1" w:rsidP="004F428F">
      <w:pPr>
        <w:pStyle w:val="3GPPHeader"/>
        <w:rPr>
          <w:lang w:eastAsia="en-US"/>
        </w:rPr>
      </w:pPr>
      <w:r>
        <w:rPr>
          <w:lang w:eastAsia="en-US"/>
        </w:rPr>
        <w:t>Agenda Item:</w:t>
      </w:r>
      <w:r>
        <w:rPr>
          <w:lang w:eastAsia="en-US"/>
        </w:rPr>
        <w:tab/>
      </w:r>
      <w:r w:rsidR="00DA005C">
        <w:rPr>
          <w:lang w:eastAsia="en-US"/>
        </w:rPr>
        <w:t>7.17.2</w:t>
      </w:r>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61F3303D" w:rsidR="00B11EE1" w:rsidRPr="00514335" w:rsidRDefault="00B11EE1" w:rsidP="004F428F">
      <w:pPr>
        <w:pStyle w:val="3GPPHeader"/>
        <w:rPr>
          <w:lang w:eastAsia="en-US"/>
        </w:rPr>
      </w:pPr>
      <w:r>
        <w:rPr>
          <w:lang w:eastAsia="en-US"/>
        </w:rPr>
        <w:t>Title:</w:t>
      </w:r>
      <w:r>
        <w:rPr>
          <w:lang w:eastAsia="en-US"/>
        </w:rPr>
        <w:tab/>
      </w:r>
      <w:r w:rsidR="00DA005C">
        <w:rPr>
          <w:lang w:val="en-US" w:eastAsia="en-US"/>
        </w:rPr>
        <w:t>Discussion on perFR</w:t>
      </w:r>
      <w:r w:rsidR="009566EB">
        <w:rPr>
          <w:lang w:val="en-US" w:eastAsia="en-US"/>
        </w:rPr>
        <w:t xml:space="preserve"> and per</w:t>
      </w:r>
      <w:r w:rsidR="00DA005C">
        <w:rPr>
          <w:lang w:val="en-US" w:eastAsia="en-US"/>
        </w:rPr>
        <w:t>UE reporting of maximum CC number</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5758E8AE" w14:textId="3F65152F" w:rsidR="00DA005C" w:rsidRDefault="00DA005C" w:rsidP="008479D2">
      <w:r>
        <w:t>In RAN2#125</w:t>
      </w:r>
      <w:r>
        <w:rPr>
          <w:rFonts w:hint="eastAsia"/>
        </w:rPr>
        <w:t>b</w:t>
      </w:r>
      <w:r>
        <w:t xml:space="preserve">is, it was agreed to report the maximum number of CCs in per-FR level. The baseline is to introduce the per-FR level maximum CC number additionally, on top of what we have on the per-UE level maximum CC number. However, it is still FFS on the relationship between the per-FR field and the per-UE field, i.e. </w:t>
      </w:r>
      <w:r w:rsidRPr="00A066A8">
        <w:rPr>
          <w:rFonts w:hint="eastAsia"/>
        </w:rPr>
        <w:t xml:space="preserve">whether to make some restriction on </w:t>
      </w:r>
      <w:r>
        <w:t>how/</w:t>
      </w:r>
      <w:r w:rsidRPr="00A066A8">
        <w:t>whether</w:t>
      </w:r>
      <w:r w:rsidRPr="00A066A8">
        <w:rPr>
          <w:rFonts w:hint="eastAsia"/>
        </w:rPr>
        <w:t xml:space="preserve"> </w:t>
      </w:r>
      <w:r>
        <w:t xml:space="preserve">the </w:t>
      </w:r>
      <w:r w:rsidRPr="00A066A8">
        <w:rPr>
          <w:rFonts w:hint="eastAsia"/>
        </w:rPr>
        <w:t>UE report</w:t>
      </w:r>
      <w:r>
        <w:t>s</w:t>
      </w:r>
      <w:r w:rsidRPr="00A066A8">
        <w:rPr>
          <w:rFonts w:hint="eastAsia"/>
        </w:rPr>
        <w:t xml:space="preserve"> per FR/</w:t>
      </w:r>
      <w:r>
        <w:t xml:space="preserve">per </w:t>
      </w:r>
      <w:r w:rsidRPr="00A066A8">
        <w:rPr>
          <w:rFonts w:hint="eastAsia"/>
        </w:rPr>
        <w:t>UE only</w:t>
      </w:r>
      <w:r>
        <w:t>,</w:t>
      </w:r>
      <w:r w:rsidRPr="00A066A8">
        <w:rPr>
          <w:rFonts w:hint="eastAsia"/>
        </w:rPr>
        <w:t xml:space="preserve"> or UE can report both </w:t>
      </w:r>
      <w:r>
        <w:t xml:space="preserve">of them </w:t>
      </w:r>
      <w:r w:rsidRPr="00A066A8">
        <w:rPr>
          <w:rFonts w:hint="eastAsia"/>
        </w:rPr>
        <w:t>at the same time</w:t>
      </w:r>
      <w:r>
        <w:t>. In this contribution, we further provide our views on the FFS issue.</w:t>
      </w:r>
    </w:p>
    <w:tbl>
      <w:tblPr>
        <w:tblStyle w:val="a7"/>
        <w:tblW w:w="0" w:type="auto"/>
        <w:tblInd w:w="0" w:type="dxa"/>
        <w:tblLook w:val="04A0" w:firstRow="1" w:lastRow="0" w:firstColumn="1" w:lastColumn="0" w:noHBand="0" w:noVBand="1"/>
      </w:tblPr>
      <w:tblGrid>
        <w:gridCol w:w="9629"/>
      </w:tblGrid>
      <w:tr w:rsidR="00DA005C" w14:paraId="320CA203" w14:textId="77777777" w:rsidTr="00DA005C">
        <w:tc>
          <w:tcPr>
            <w:tcW w:w="9629" w:type="dxa"/>
          </w:tcPr>
          <w:p w14:paraId="441DF164" w14:textId="77777777" w:rsidR="00DA005C" w:rsidRPr="00A066A8" w:rsidRDefault="00DA005C" w:rsidP="00DA005C">
            <w:pPr>
              <w:pStyle w:val="Agreement"/>
              <w:numPr>
                <w:ilvl w:val="0"/>
                <w:numId w:val="27"/>
              </w:numPr>
            </w:pPr>
            <w:r w:rsidRPr="00A066A8">
              <w:rPr>
                <w:rFonts w:hint="eastAsia"/>
              </w:rPr>
              <w:t xml:space="preserve">RIL H104 </w:t>
            </w:r>
            <w:r w:rsidRPr="00A066A8">
              <w:rPr>
                <w:rFonts w:eastAsia="宋体" w:hint="eastAsia"/>
                <w:lang w:eastAsia="zh-CN"/>
              </w:rPr>
              <w:t xml:space="preserve">is </w:t>
            </w:r>
            <w:r w:rsidRPr="00A066A8">
              <w:rPr>
                <w:rFonts w:hint="eastAsia"/>
              </w:rPr>
              <w:t xml:space="preserve">agreed, as baseline </w:t>
            </w:r>
            <w:r w:rsidRPr="00A066A8">
              <w:t>maximum number of CCs reported per-FR level.</w:t>
            </w:r>
          </w:p>
          <w:p w14:paraId="48B3BAA8" w14:textId="02CC09F8" w:rsidR="00DA005C" w:rsidRPr="00DA005C" w:rsidRDefault="00DA005C" w:rsidP="008479D2">
            <w:pPr>
              <w:pStyle w:val="Agreement"/>
              <w:numPr>
                <w:ilvl w:val="0"/>
                <w:numId w:val="27"/>
              </w:numPr>
            </w:pPr>
            <w:r w:rsidRPr="00A066A8">
              <w:rPr>
                <w:rFonts w:hint="eastAsia"/>
              </w:rPr>
              <w:t xml:space="preserve">Option 2, i.e., </w:t>
            </w:r>
            <w:r w:rsidRPr="00A066A8">
              <w:t>“</w:t>
            </w:r>
            <w:r w:rsidRPr="00A066A8">
              <w:rPr>
                <w:rFonts w:hint="eastAsia"/>
              </w:rPr>
              <w:t xml:space="preserve">add additional </w:t>
            </w:r>
            <w:r w:rsidRPr="00A066A8">
              <w:t>optional</w:t>
            </w:r>
            <w:r w:rsidRPr="00A066A8">
              <w:rPr>
                <w:rFonts w:hint="eastAsia"/>
              </w:rPr>
              <w:t xml:space="preserve"> </w:t>
            </w:r>
            <w:r w:rsidRPr="00A066A8">
              <w:t>values</w:t>
            </w:r>
            <w:r w:rsidRPr="00A066A8">
              <w:rPr>
                <w:rFonts w:hint="eastAsia"/>
              </w:rPr>
              <w:t xml:space="preserve"> for </w:t>
            </w:r>
            <w:r w:rsidRPr="00A066A8">
              <w:t>maximum number of CCs reported per-FR level”</w:t>
            </w:r>
            <w:r w:rsidRPr="00A066A8">
              <w:rPr>
                <w:rFonts w:hint="eastAsia"/>
              </w:rPr>
              <w:t xml:space="preserve"> is baseline. </w:t>
            </w:r>
            <w:r w:rsidRPr="00A066A8">
              <w:t>Details</w:t>
            </w:r>
            <w:r w:rsidRPr="00A066A8">
              <w:rPr>
                <w:rFonts w:hint="eastAsia"/>
              </w:rPr>
              <w:t xml:space="preserve"> can be discussed during CR update. FFS whether to make some restriction on how </w:t>
            </w:r>
            <w:r w:rsidRPr="00A066A8">
              <w:t>whether</w:t>
            </w:r>
            <w:r w:rsidRPr="00A066A8">
              <w:rPr>
                <w:rFonts w:hint="eastAsia"/>
              </w:rPr>
              <w:t xml:space="preserve"> UE report per FRx/UE only or UE can report both at the same time.</w:t>
            </w:r>
          </w:p>
        </w:tc>
      </w:tr>
    </w:tbl>
    <w:p w14:paraId="4454E86C" w14:textId="68A716A7" w:rsidR="002F1490" w:rsidRPr="003F3CED" w:rsidRDefault="002F1490" w:rsidP="008479D2"/>
    <w:p w14:paraId="00A14CCC" w14:textId="2119DB04" w:rsidR="00B11EE1" w:rsidRDefault="00B11EE1" w:rsidP="00B11EE1">
      <w:pPr>
        <w:pStyle w:val="1"/>
        <w:rPr>
          <w:rFonts w:eastAsiaTheme="minorEastAsia"/>
        </w:rPr>
      </w:pPr>
      <w:r>
        <w:rPr>
          <w:rFonts w:eastAsiaTheme="minorEastAsia"/>
        </w:rPr>
        <w:t>Discussion</w:t>
      </w:r>
    </w:p>
    <w:p w14:paraId="34A5286C" w14:textId="61A1D9F6" w:rsidR="00DA005C" w:rsidRDefault="00DA005C" w:rsidP="005718F3">
      <w:r>
        <w:t xml:space="preserve">In [1], we analyse the necessity to indicate the UE preference on maximum number of CCs in per-FR level. From UE perspective, the required processing resources for one component carrier in FR1 are usually quite different from that in FR2. Thus, the spec should allow enough flexibility for different UE capability design. During online discussion, some companies proposed to introduce both the per-FR level reporting and per-UE level reporting, i.e. indicate through separate IEs. In our view, from functionality perspective, a finer granularity reporting (i.e. per-FR level) is enough to cover the function of per-UE level reporting. If the UE has the total restriction on the maximum number of CCs, the per-FR level signalling can also be used for such requirement. </w:t>
      </w:r>
    </w:p>
    <w:p w14:paraId="79AB1702" w14:textId="70EC23F8" w:rsidR="00DA005C" w:rsidRDefault="00D67C6A" w:rsidP="005718F3">
      <w:r>
        <w:t xml:space="preserve">Here </w:t>
      </w:r>
      <w:r w:rsidR="00DA005C">
        <w:t xml:space="preserve">are some examples: </w:t>
      </w:r>
    </w:p>
    <w:p w14:paraId="5AF52EAA" w14:textId="6E3409C5" w:rsidR="00DA005C" w:rsidRPr="00BD0DED" w:rsidRDefault="00287123" w:rsidP="00BD0DED">
      <w:pPr>
        <w:pStyle w:val="a6"/>
        <w:numPr>
          <w:ilvl w:val="0"/>
          <w:numId w:val="47"/>
        </w:numPr>
        <w:spacing w:after="240"/>
        <w:rPr>
          <w:rFonts w:ascii="Times New Roman" w:hAnsi="Times New Roman" w:cs="Times New Roman"/>
          <w:sz w:val="20"/>
        </w:rPr>
      </w:pPr>
      <w:r w:rsidRPr="00BD0DED">
        <w:rPr>
          <w:rFonts w:ascii="Times New Roman" w:hAnsi="Times New Roman" w:cs="Times New Roman"/>
          <w:sz w:val="20"/>
        </w:rPr>
        <w:t>C</w:t>
      </w:r>
      <w:r w:rsidR="00DA005C" w:rsidRPr="00BD0DED">
        <w:rPr>
          <w:rFonts w:ascii="Times New Roman" w:hAnsi="Times New Roman" w:cs="Times New Roman"/>
          <w:sz w:val="20"/>
        </w:rPr>
        <w:t xml:space="preserve">ase1) For a purely FR1 BC, the total restriction on CC numbers will be indicated through the field of preferred FR1 CC number; </w:t>
      </w:r>
    </w:p>
    <w:p w14:paraId="569232EA" w14:textId="5D67C48C" w:rsidR="004E7D1A" w:rsidRPr="00BD0DED" w:rsidRDefault="00287123" w:rsidP="00BD0DED">
      <w:pPr>
        <w:pStyle w:val="a6"/>
        <w:numPr>
          <w:ilvl w:val="0"/>
          <w:numId w:val="47"/>
        </w:numPr>
        <w:spacing w:after="240"/>
        <w:rPr>
          <w:rFonts w:ascii="Times New Roman" w:hAnsi="Times New Roman" w:cs="Times New Roman"/>
          <w:sz w:val="20"/>
        </w:rPr>
      </w:pPr>
      <w:r w:rsidRPr="00BD0DED">
        <w:rPr>
          <w:rFonts w:ascii="Times New Roman" w:hAnsi="Times New Roman" w:cs="Times New Roman"/>
          <w:sz w:val="20"/>
        </w:rPr>
        <w:t>C</w:t>
      </w:r>
      <w:r w:rsidR="00DA005C" w:rsidRPr="00BD0DED">
        <w:rPr>
          <w:rFonts w:ascii="Times New Roman" w:hAnsi="Times New Roman" w:cs="Times New Roman"/>
          <w:sz w:val="20"/>
        </w:rPr>
        <w:t xml:space="preserve">ase2) For a purely FR2 BC, the total restriction on CC numbers will be indicated through the field of preferred FR2 CC number;  </w:t>
      </w:r>
      <w:r w:rsidR="004E7D1A" w:rsidRPr="00BD0DED">
        <w:rPr>
          <w:rFonts w:ascii="Times New Roman" w:hAnsi="Times New Roman" w:cs="Times New Roman"/>
          <w:sz w:val="20"/>
        </w:rPr>
        <w:t xml:space="preserve"> </w:t>
      </w:r>
    </w:p>
    <w:p w14:paraId="2DC55662" w14:textId="2E2CDDA0" w:rsidR="00DA005C" w:rsidRPr="00BD0DED" w:rsidRDefault="00287123" w:rsidP="00BD0DED">
      <w:pPr>
        <w:pStyle w:val="a6"/>
        <w:numPr>
          <w:ilvl w:val="0"/>
          <w:numId w:val="47"/>
        </w:numPr>
        <w:spacing w:after="240"/>
        <w:rPr>
          <w:rFonts w:ascii="Times New Roman" w:hAnsi="Times New Roman" w:cs="Times New Roman"/>
          <w:sz w:val="20"/>
        </w:rPr>
      </w:pPr>
      <w:r w:rsidRPr="00BD0DED">
        <w:rPr>
          <w:rFonts w:ascii="Times New Roman" w:hAnsi="Times New Roman" w:cs="Times New Roman"/>
          <w:sz w:val="20"/>
        </w:rPr>
        <w:t>C</w:t>
      </w:r>
      <w:r w:rsidR="00DA005C" w:rsidRPr="00BD0DED">
        <w:rPr>
          <w:rFonts w:ascii="Times New Roman" w:hAnsi="Times New Roman" w:cs="Times New Roman"/>
          <w:sz w:val="20"/>
        </w:rPr>
        <w:t>ase3) For a mixed FR1 and FR2 BC, it is up to UE to divide the total restriction on CC numbers between FR1 and FR2. For example, the UE can decide how many CCs to report for FR1, and others for FR2, only if the requirement on restriction of total CC numbers is met.</w:t>
      </w:r>
    </w:p>
    <w:p w14:paraId="6170BEBB" w14:textId="12ED3913" w:rsidR="00DA005C" w:rsidRDefault="00DA005C" w:rsidP="005718F3">
      <w:r>
        <w:t xml:space="preserve">For all the above three cases, the per-FR level signalling can work without critical issues. The benefit for the per-UE level signalling is to leave more flexibility on CC configuration for the NW in the </w:t>
      </w:r>
      <w:r w:rsidR="008A552C">
        <w:t>C</w:t>
      </w:r>
      <w:r>
        <w:t xml:space="preserve">ase3. For example, if the UE indicates the restriction of 5 CC in total for FR1 and FR2 together, the NW is able to configure multiple CA combinations, e.g. 1 CC FR1+4CC FR2; 2CC FR1 + </w:t>
      </w:r>
      <w:r w:rsidR="007E3847">
        <w:t>3</w:t>
      </w:r>
      <w:r>
        <w:t xml:space="preserve">CC FR2, and so on. On this point, the per-UE level signalling is helpful to provide more flexibility on NW side. </w:t>
      </w:r>
      <w:bookmarkStart w:id="0" w:name="_GoBack"/>
      <w:bookmarkEnd w:id="0"/>
    </w:p>
    <w:p w14:paraId="1568DDDA" w14:textId="5C16CBAC" w:rsidR="00DA005C" w:rsidRDefault="00DA005C" w:rsidP="005718F3">
      <w:pPr>
        <w:rPr>
          <w:b/>
        </w:rPr>
      </w:pPr>
      <w:r w:rsidRPr="00DA005C">
        <w:rPr>
          <w:b/>
        </w:rPr>
        <w:lastRenderedPageBreak/>
        <w:t xml:space="preserve">Observation 1: </w:t>
      </w:r>
      <w:r>
        <w:rPr>
          <w:b/>
        </w:rPr>
        <w:t>From UE perspective, t</w:t>
      </w:r>
      <w:r w:rsidRPr="00DA005C">
        <w:rPr>
          <w:b/>
        </w:rPr>
        <w:t xml:space="preserve">he per-FR level signalling </w:t>
      </w:r>
      <w:r>
        <w:rPr>
          <w:b/>
        </w:rPr>
        <w:t xml:space="preserve">can </w:t>
      </w:r>
      <w:r w:rsidRPr="00DA005C">
        <w:rPr>
          <w:b/>
        </w:rPr>
        <w:t xml:space="preserve">meet the requirement on the restriction of </w:t>
      </w:r>
      <w:r>
        <w:rPr>
          <w:b/>
        </w:rPr>
        <w:t>total</w:t>
      </w:r>
      <w:r w:rsidRPr="00DA005C">
        <w:rPr>
          <w:b/>
        </w:rPr>
        <w:t xml:space="preserve"> CC number </w:t>
      </w:r>
      <w:r>
        <w:rPr>
          <w:b/>
        </w:rPr>
        <w:t>in per-UE level</w:t>
      </w:r>
      <w:r w:rsidRPr="00DA005C">
        <w:rPr>
          <w:b/>
        </w:rPr>
        <w:t xml:space="preserve">. </w:t>
      </w:r>
    </w:p>
    <w:p w14:paraId="4BDA21C2" w14:textId="2BBEA596" w:rsidR="00DA005C" w:rsidRDefault="00DA005C" w:rsidP="005718F3">
      <w:pPr>
        <w:rPr>
          <w:b/>
        </w:rPr>
      </w:pPr>
      <w:r>
        <w:rPr>
          <w:rFonts w:hint="eastAsia"/>
          <w:b/>
        </w:rPr>
        <w:t>O</w:t>
      </w:r>
      <w:r>
        <w:rPr>
          <w:b/>
        </w:rPr>
        <w:t xml:space="preserve">bservation 2: </w:t>
      </w:r>
      <w:r>
        <w:rPr>
          <w:rFonts w:hint="eastAsia"/>
          <w:b/>
        </w:rPr>
        <w:t>The</w:t>
      </w:r>
      <w:r>
        <w:rPr>
          <w:b/>
        </w:rPr>
        <w:t xml:space="preserve"> per-UE level signalling is helpful to provide more flexibility for the NW to configure CA combinations within the restriction of total CC number. </w:t>
      </w:r>
    </w:p>
    <w:p w14:paraId="544647E1" w14:textId="433915CD" w:rsidR="00DA005C" w:rsidRDefault="00D67C6A" w:rsidP="005718F3">
      <w:r>
        <w:t xml:space="preserve">However, RAN2 has agreed that both of </w:t>
      </w:r>
      <w:r w:rsidR="00DA005C">
        <w:t xml:space="preserve">the per-FR signalling and per-UE signalling are </w:t>
      </w:r>
      <w:r>
        <w:t>supported by using separate IEs.</w:t>
      </w:r>
      <w:r w:rsidR="00DA005C">
        <w:t xml:space="preserve"> </w:t>
      </w:r>
      <w:r>
        <w:t xml:space="preserve">In this case, the remaining issue is whether to </w:t>
      </w:r>
      <w:r w:rsidRPr="00A066A8">
        <w:rPr>
          <w:rFonts w:hint="eastAsia"/>
        </w:rPr>
        <w:t xml:space="preserve">make some restriction on </w:t>
      </w:r>
      <w:r>
        <w:t xml:space="preserve">whether/how </w:t>
      </w:r>
      <w:r w:rsidRPr="00A066A8">
        <w:rPr>
          <w:rFonts w:hint="eastAsia"/>
        </w:rPr>
        <w:t>UE report</w:t>
      </w:r>
      <w:r>
        <w:t>s</w:t>
      </w:r>
      <w:r w:rsidRPr="00A066A8">
        <w:rPr>
          <w:rFonts w:hint="eastAsia"/>
        </w:rPr>
        <w:t xml:space="preserve"> per FR/</w:t>
      </w:r>
      <w:r>
        <w:t xml:space="preserve">per </w:t>
      </w:r>
      <w:r w:rsidRPr="00A066A8">
        <w:rPr>
          <w:rFonts w:hint="eastAsia"/>
        </w:rPr>
        <w:t>UE only</w:t>
      </w:r>
      <w:r>
        <w:t>,</w:t>
      </w:r>
      <w:r w:rsidRPr="00A066A8">
        <w:rPr>
          <w:rFonts w:hint="eastAsia"/>
        </w:rPr>
        <w:t xml:space="preserve"> or UE can report both </w:t>
      </w:r>
      <w:r>
        <w:t xml:space="preserve">of them </w:t>
      </w:r>
      <w:r w:rsidRPr="00A066A8">
        <w:rPr>
          <w:rFonts w:hint="eastAsia"/>
        </w:rPr>
        <w:t>at the same time</w:t>
      </w:r>
      <w:r>
        <w:t>.</w:t>
      </w:r>
      <w:r w:rsidDel="00D67C6A">
        <w:t xml:space="preserve"> </w:t>
      </w:r>
      <w:r w:rsidR="00DA005C">
        <w:t xml:space="preserve">The only use case to report them together is, the UE has different requirement on the restricted CC numbers between FRx, while the UE has another restriction on the total CC number at the same time. For example, the restricted maximum CC number for FR1 is 2, while for FR2 is 4, at the same time, the restricted maximum CC number in total is 5. In this case, the possible CC combinations include: 0 FR1 CC+4 FR2 CC, 1 FR1 CC+ 4 FR2 CC, 2 FR1 CC+ 3 FR2 CC. </w:t>
      </w:r>
    </w:p>
    <w:p w14:paraId="4BE34362" w14:textId="02179593" w:rsidR="00DA005C" w:rsidRDefault="00DA005C" w:rsidP="005718F3">
      <w:r>
        <w:t xml:space="preserve">In our view, </w:t>
      </w:r>
      <w:r w:rsidR="00D67C6A">
        <w:t xml:space="preserve">since </w:t>
      </w:r>
      <w:r>
        <w:t xml:space="preserve">the per-UE level and per-FR </w:t>
      </w:r>
      <w:r>
        <w:rPr>
          <w:rFonts w:hint="eastAsia"/>
        </w:rPr>
        <w:t>level</w:t>
      </w:r>
      <w:r>
        <w:t xml:space="preserve"> signalling can be reported in separate IEs, there is no technical issue for the NW to interpret them together. </w:t>
      </w:r>
      <w:r w:rsidR="00B966E0">
        <w:t xml:space="preserve">A </w:t>
      </w:r>
      <w:r>
        <w:t xml:space="preserve">similar method </w:t>
      </w:r>
      <w:r w:rsidR="00B966E0">
        <w:t xml:space="preserve">was used </w:t>
      </w:r>
      <w:r>
        <w:t>in the standard to interpret one UE capability combining different granularity of capability paramet</w:t>
      </w:r>
      <w:r>
        <w:rPr>
          <w:rFonts w:hint="eastAsia"/>
        </w:rPr>
        <w:t>e</w:t>
      </w:r>
      <w:r>
        <w:t xml:space="preserve">rs, e.g. one capability is derived based on both per-band level and per-BC level capability together. </w:t>
      </w:r>
      <w:r w:rsidR="00D67C6A">
        <w:t xml:space="preserve">It should be up to the UE implementation whether to report </w:t>
      </w:r>
      <w:r w:rsidR="00D67C6A" w:rsidRPr="00A066A8">
        <w:rPr>
          <w:rFonts w:hint="eastAsia"/>
        </w:rPr>
        <w:t>per FR/</w:t>
      </w:r>
      <w:r w:rsidR="00D67C6A">
        <w:t xml:space="preserve">per </w:t>
      </w:r>
      <w:r w:rsidR="00D67C6A" w:rsidRPr="00A066A8">
        <w:rPr>
          <w:rFonts w:hint="eastAsia"/>
        </w:rPr>
        <w:t>UE only</w:t>
      </w:r>
      <w:r w:rsidR="00D67C6A">
        <w:t>,</w:t>
      </w:r>
      <w:r w:rsidR="00D67C6A" w:rsidRPr="00A066A8">
        <w:rPr>
          <w:rFonts w:hint="eastAsia"/>
        </w:rPr>
        <w:t xml:space="preserve"> or report both </w:t>
      </w:r>
      <w:r w:rsidR="00D67C6A">
        <w:t xml:space="preserve">of them </w:t>
      </w:r>
      <w:r w:rsidR="00D67C6A" w:rsidRPr="00A066A8">
        <w:rPr>
          <w:rFonts w:hint="eastAsia"/>
        </w:rPr>
        <w:t>at the same time</w:t>
      </w:r>
      <w:r w:rsidR="00D67C6A">
        <w:t xml:space="preserve"> based the real capability restriction of the UE. In other words, we don't see </w:t>
      </w:r>
      <w:r w:rsidR="00373FE1">
        <w:t xml:space="preserve">either </w:t>
      </w:r>
      <w:r w:rsidR="00D67C6A">
        <w:t xml:space="preserve">the motivation to restrict </w:t>
      </w:r>
      <w:r w:rsidR="00373FE1">
        <w:t xml:space="preserve">or the motivation to forbid </w:t>
      </w:r>
      <w:r w:rsidR="00D67C6A">
        <w:t xml:space="preserve">the UE </w:t>
      </w:r>
      <w:r w:rsidR="00373FE1">
        <w:t xml:space="preserve">to </w:t>
      </w:r>
      <w:r w:rsidR="00D67C6A">
        <w:t xml:space="preserve">report both of per-UE level and per-FR </w:t>
      </w:r>
      <w:r w:rsidR="00D67C6A">
        <w:rPr>
          <w:rFonts w:hint="eastAsia"/>
        </w:rPr>
        <w:t>level</w:t>
      </w:r>
      <w:r w:rsidR="00D67C6A">
        <w:t xml:space="preserve"> signalling at the same time</w:t>
      </w:r>
      <w:r w:rsidR="00373FE1">
        <w:t>.</w:t>
      </w:r>
    </w:p>
    <w:p w14:paraId="0B711D2D" w14:textId="5DD1EA6A" w:rsidR="00DA005C" w:rsidRPr="00DA005C" w:rsidRDefault="00DA005C" w:rsidP="005718F3">
      <w:pPr>
        <w:rPr>
          <w:b/>
        </w:rPr>
      </w:pPr>
      <w:r w:rsidRPr="00DA005C">
        <w:rPr>
          <w:rFonts w:hint="eastAsia"/>
          <w:b/>
        </w:rPr>
        <w:t>O</w:t>
      </w:r>
      <w:r w:rsidRPr="00DA005C">
        <w:rPr>
          <w:b/>
        </w:rPr>
        <w:t xml:space="preserve">bservation 3: </w:t>
      </w:r>
      <w:r w:rsidRPr="00DA005C">
        <w:rPr>
          <w:rFonts w:hint="eastAsia"/>
          <w:b/>
        </w:rPr>
        <w:t>Th</w:t>
      </w:r>
      <w:r>
        <w:rPr>
          <w:b/>
        </w:rPr>
        <w:t xml:space="preserve">ere is </w:t>
      </w:r>
      <w:r w:rsidR="00373FE1">
        <w:rPr>
          <w:b/>
        </w:rPr>
        <w:t xml:space="preserve">neither </w:t>
      </w:r>
      <w:r w:rsidR="00D67C6A">
        <w:rPr>
          <w:b/>
        </w:rPr>
        <w:t xml:space="preserve">motivation to restrict </w:t>
      </w:r>
      <w:r w:rsidR="00373FE1">
        <w:rPr>
          <w:b/>
        </w:rPr>
        <w:t xml:space="preserve">nor forbid </w:t>
      </w:r>
      <w:r w:rsidR="00D67C6A">
        <w:rPr>
          <w:b/>
        </w:rPr>
        <w:t xml:space="preserve">the UE to report the per-UE level and per-FR level signalling at the same time and no </w:t>
      </w:r>
      <w:r>
        <w:rPr>
          <w:b/>
        </w:rPr>
        <w:t>technical issue to interpret the per-FR and per-UE signalling together</w:t>
      </w:r>
      <w:r w:rsidR="00D67C6A">
        <w:rPr>
          <w:b/>
        </w:rPr>
        <w:t xml:space="preserve"> by the NW</w:t>
      </w:r>
      <w:r>
        <w:rPr>
          <w:b/>
        </w:rPr>
        <w:t>.</w:t>
      </w:r>
    </w:p>
    <w:p w14:paraId="6E4EEE9C" w14:textId="0552E013" w:rsidR="00DA005C" w:rsidRPr="00DA005C" w:rsidRDefault="00DA005C" w:rsidP="005718F3">
      <w:r w:rsidRPr="00DA005C">
        <w:rPr>
          <w:b/>
        </w:rPr>
        <w:t>Proposal 1:</w:t>
      </w:r>
      <w:r w:rsidRPr="007E3847">
        <w:rPr>
          <w:b/>
        </w:rPr>
        <w:t xml:space="preserve"> </w:t>
      </w:r>
      <w:r w:rsidR="00373FE1" w:rsidRPr="007E3847">
        <w:rPr>
          <w:b/>
        </w:rPr>
        <w:t xml:space="preserve">For </w:t>
      </w:r>
      <w:r w:rsidR="00373FE1">
        <w:rPr>
          <w:b/>
        </w:rPr>
        <w:t xml:space="preserve">the </w:t>
      </w:r>
      <w:r w:rsidR="001869D5">
        <w:rPr>
          <w:b/>
        </w:rPr>
        <w:t>restriction on maximum CC numbers</w:t>
      </w:r>
      <w:r w:rsidR="00373FE1">
        <w:rPr>
          <w:b/>
        </w:rPr>
        <w:t>,</w:t>
      </w:r>
      <w:r w:rsidR="00373FE1" w:rsidRPr="00373FE1">
        <w:rPr>
          <w:b/>
        </w:rPr>
        <w:t xml:space="preserve"> it is up to UE implementation to</w:t>
      </w:r>
      <w:r w:rsidR="001869D5">
        <w:rPr>
          <w:b/>
        </w:rPr>
        <w:t xml:space="preserve"> </w:t>
      </w:r>
      <w:r w:rsidR="00373FE1">
        <w:rPr>
          <w:b/>
        </w:rPr>
        <w:t xml:space="preserve">report </w:t>
      </w:r>
      <w:r w:rsidR="007232EE">
        <w:rPr>
          <w:b/>
        </w:rPr>
        <w:t xml:space="preserve">per-FR level, or per-UE level, or </w:t>
      </w:r>
      <w:r>
        <w:rPr>
          <w:b/>
        </w:rPr>
        <w:t xml:space="preserve">per-FR </w:t>
      </w:r>
      <w:r w:rsidR="001869D5">
        <w:rPr>
          <w:b/>
        </w:rPr>
        <w:t xml:space="preserve">level </w:t>
      </w:r>
      <w:r>
        <w:rPr>
          <w:b/>
        </w:rPr>
        <w:t xml:space="preserve">and per-UE </w:t>
      </w:r>
      <w:r w:rsidR="001869D5">
        <w:rPr>
          <w:b/>
        </w:rPr>
        <w:t xml:space="preserve">level </w:t>
      </w:r>
      <w:r>
        <w:rPr>
          <w:b/>
        </w:rPr>
        <w:t>together</w:t>
      </w:r>
      <w:r w:rsidR="00373FE1">
        <w:rPr>
          <w:b/>
        </w:rPr>
        <w:t>, and no need to define any restriction on this in the specification</w:t>
      </w:r>
      <w:r>
        <w:rPr>
          <w:b/>
        </w:rPr>
        <w:t>.</w:t>
      </w:r>
    </w:p>
    <w:p w14:paraId="29E6B978" w14:textId="59228ADE" w:rsidR="005F6A36" w:rsidRDefault="005F6A36" w:rsidP="005F6A36">
      <w:pPr>
        <w:pStyle w:val="1"/>
        <w:rPr>
          <w:rFonts w:eastAsia="Malgun Gothic"/>
        </w:rPr>
      </w:pPr>
      <w:r>
        <w:rPr>
          <w:rFonts w:eastAsia="Malgun Gothic"/>
        </w:rPr>
        <w:t>Conclusion</w:t>
      </w:r>
    </w:p>
    <w:p w14:paraId="2AD82F85" w14:textId="576AE2C9" w:rsidR="005F6A36" w:rsidRDefault="005F6A36" w:rsidP="005F6A36">
      <w:r>
        <w:rPr>
          <w:rFonts w:hint="eastAsia"/>
        </w:rPr>
        <w:t>In</w:t>
      </w:r>
      <w:r>
        <w:t xml:space="preserve"> this contribution, we have following </w:t>
      </w:r>
      <w:r w:rsidR="00DE5F09">
        <w:t xml:space="preserve">observations and </w:t>
      </w:r>
      <w:r>
        <w:t>proposals:</w:t>
      </w:r>
    </w:p>
    <w:p w14:paraId="07EEA1A9" w14:textId="77777777" w:rsidR="007E3847" w:rsidRDefault="007E3847" w:rsidP="007E3847">
      <w:pPr>
        <w:rPr>
          <w:b/>
        </w:rPr>
      </w:pPr>
      <w:r w:rsidRPr="00DA005C">
        <w:rPr>
          <w:b/>
        </w:rPr>
        <w:t xml:space="preserve">Observation 1: </w:t>
      </w:r>
      <w:r>
        <w:rPr>
          <w:b/>
        </w:rPr>
        <w:t>From UE perspective, t</w:t>
      </w:r>
      <w:r w:rsidRPr="00DA005C">
        <w:rPr>
          <w:b/>
        </w:rPr>
        <w:t xml:space="preserve">he per-FR level signalling </w:t>
      </w:r>
      <w:r>
        <w:rPr>
          <w:b/>
        </w:rPr>
        <w:t xml:space="preserve">can </w:t>
      </w:r>
      <w:r w:rsidRPr="00DA005C">
        <w:rPr>
          <w:b/>
        </w:rPr>
        <w:t xml:space="preserve">meet the requirement on the restriction of </w:t>
      </w:r>
      <w:r>
        <w:rPr>
          <w:b/>
        </w:rPr>
        <w:t>total</w:t>
      </w:r>
      <w:r w:rsidRPr="00DA005C">
        <w:rPr>
          <w:b/>
        </w:rPr>
        <w:t xml:space="preserve"> CC number </w:t>
      </w:r>
      <w:r>
        <w:rPr>
          <w:b/>
        </w:rPr>
        <w:t>in per-UE level</w:t>
      </w:r>
      <w:r w:rsidRPr="00DA005C">
        <w:rPr>
          <w:b/>
        </w:rPr>
        <w:t xml:space="preserve">. </w:t>
      </w:r>
    </w:p>
    <w:p w14:paraId="2557D9F3" w14:textId="77777777" w:rsidR="007E3847" w:rsidRDefault="007E3847" w:rsidP="007E3847">
      <w:pPr>
        <w:rPr>
          <w:b/>
        </w:rPr>
      </w:pPr>
      <w:r>
        <w:rPr>
          <w:rFonts w:hint="eastAsia"/>
          <w:b/>
        </w:rPr>
        <w:t>O</w:t>
      </w:r>
      <w:r>
        <w:rPr>
          <w:b/>
        </w:rPr>
        <w:t xml:space="preserve">bservation 2: </w:t>
      </w:r>
      <w:r>
        <w:rPr>
          <w:rFonts w:hint="eastAsia"/>
          <w:b/>
        </w:rPr>
        <w:t>The</w:t>
      </w:r>
      <w:r>
        <w:rPr>
          <w:b/>
        </w:rPr>
        <w:t xml:space="preserve"> per-UE level signalling is helpful to provide more flexibility for the NW to configure CA combinations within the restriction of total CC number. </w:t>
      </w:r>
    </w:p>
    <w:p w14:paraId="75B21B2F" w14:textId="77777777" w:rsidR="007E3847" w:rsidRPr="00DA005C" w:rsidRDefault="007E3847" w:rsidP="007E3847">
      <w:pPr>
        <w:rPr>
          <w:b/>
        </w:rPr>
      </w:pPr>
      <w:r w:rsidRPr="00DA005C">
        <w:rPr>
          <w:rFonts w:hint="eastAsia"/>
          <w:b/>
        </w:rPr>
        <w:t>O</w:t>
      </w:r>
      <w:r w:rsidRPr="00DA005C">
        <w:rPr>
          <w:b/>
        </w:rPr>
        <w:t xml:space="preserve">bservation 3: </w:t>
      </w:r>
      <w:r w:rsidRPr="00DA005C">
        <w:rPr>
          <w:rFonts w:hint="eastAsia"/>
          <w:b/>
        </w:rPr>
        <w:t>Th</w:t>
      </w:r>
      <w:r>
        <w:rPr>
          <w:b/>
        </w:rPr>
        <w:t>ere is neither motivation to restrict nor forbid the UE to report the per-UE level and per-FR level signalling at the same time and no technical issue to interpret the per-FR and per-UE signalling together by the NW.</w:t>
      </w:r>
    </w:p>
    <w:p w14:paraId="3A8B2777" w14:textId="755D77D5" w:rsidR="007E3847" w:rsidRPr="007E3847" w:rsidRDefault="007E3847" w:rsidP="005F6A36">
      <w:r w:rsidRPr="00DA005C">
        <w:rPr>
          <w:b/>
        </w:rPr>
        <w:t>Proposal 1:</w:t>
      </w:r>
      <w:r w:rsidRPr="007E3847">
        <w:rPr>
          <w:b/>
        </w:rPr>
        <w:t xml:space="preserve"> For </w:t>
      </w:r>
      <w:r>
        <w:rPr>
          <w:b/>
        </w:rPr>
        <w:t>the restriction on maximum CC numbers,</w:t>
      </w:r>
      <w:r w:rsidRPr="00373FE1">
        <w:rPr>
          <w:b/>
        </w:rPr>
        <w:t xml:space="preserve"> it is up to UE implementation to</w:t>
      </w:r>
      <w:r>
        <w:rPr>
          <w:b/>
        </w:rPr>
        <w:t xml:space="preserve"> report per-FR level, or per-UE level, or per-FR level and per-UE level together, and no need to define any restriction on this in the specification.</w:t>
      </w:r>
    </w:p>
    <w:p w14:paraId="79ACB3C9" w14:textId="77777777" w:rsidR="00B11EE1" w:rsidRDefault="00B11EE1" w:rsidP="00B11EE1">
      <w:pPr>
        <w:pStyle w:val="1"/>
        <w:rPr>
          <w:rFonts w:eastAsia="Malgun Gothic"/>
        </w:rPr>
      </w:pPr>
      <w:r>
        <w:rPr>
          <w:rFonts w:eastAsia="Malgun Gothic"/>
        </w:rPr>
        <w:t>References</w:t>
      </w:r>
    </w:p>
    <w:p w14:paraId="3F1B957F" w14:textId="70E3CF4E" w:rsidR="00DE5F09" w:rsidRDefault="00DA005C" w:rsidP="00DE5F09">
      <w:pPr>
        <w:numPr>
          <w:ilvl w:val="0"/>
          <w:numId w:val="43"/>
        </w:numPr>
        <w:overflowPunct/>
        <w:autoSpaceDE/>
        <w:autoSpaceDN/>
        <w:adjustRightInd/>
        <w:spacing w:after="0"/>
        <w:jc w:val="left"/>
      </w:pPr>
      <w:r w:rsidRPr="00A066A8">
        <w:t>R2-2402968</w:t>
      </w:r>
      <w:r w:rsidRPr="00A066A8">
        <w:tab/>
        <w:t>[H104][H108][H109] Discussion on MUSIM RILs</w:t>
      </w:r>
      <w:r w:rsidRPr="00A066A8">
        <w:tab/>
        <w:t>Huawei, HiSilicon</w:t>
      </w:r>
      <w:r w:rsidR="00DE5F09" w:rsidRPr="00D408B8">
        <w:t>.</w:t>
      </w:r>
    </w:p>
    <w:p w14:paraId="022E93FF" w14:textId="58F4FA15" w:rsidR="004F58E9" w:rsidRPr="00DE5F09" w:rsidRDefault="004F58E9" w:rsidP="00DE5F09"/>
    <w:sectPr w:rsidR="004F58E9" w:rsidRPr="00DE5F09"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5AE1C" w14:textId="77777777" w:rsidR="0007554E" w:rsidRDefault="0007554E" w:rsidP="004F428F">
      <w:r>
        <w:separator/>
      </w:r>
    </w:p>
  </w:endnote>
  <w:endnote w:type="continuationSeparator" w:id="0">
    <w:p w14:paraId="70ABE188" w14:textId="77777777" w:rsidR="0007554E" w:rsidRDefault="0007554E"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78AD9" w14:textId="77777777" w:rsidR="0007554E" w:rsidRDefault="0007554E" w:rsidP="004F428F">
      <w:r>
        <w:separator/>
      </w:r>
    </w:p>
  </w:footnote>
  <w:footnote w:type="continuationSeparator" w:id="0">
    <w:p w14:paraId="534D8E54" w14:textId="77777777" w:rsidR="0007554E" w:rsidRDefault="0007554E"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5pt;height:11.5pt" o:bullet="t">
        <v:imagedata r:id="rId1" o:title="mso7949"/>
      </v:shape>
    </w:pict>
  </w:numPicBullet>
  <w:numPicBullet w:numPicBulletId="1">
    <w:pict>
      <v:shape id="_x0000_i1083" type="#_x0000_t75" style="width:11.5pt;height:11.5pt" o:bullet="t">
        <v:imagedata r:id="rId2" o:title="msoF590"/>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B39B0"/>
    <w:multiLevelType w:val="hybridMultilevel"/>
    <w:tmpl w:val="BEDA3A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1" w15:restartNumberingAfterBreak="0">
    <w:nsid w:val="55880D5C"/>
    <w:multiLevelType w:val="hybridMultilevel"/>
    <w:tmpl w:val="86A8435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0E5DAF"/>
    <w:multiLevelType w:val="hybridMultilevel"/>
    <w:tmpl w:val="90024454"/>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4"/>
  </w:num>
  <w:num w:numId="5">
    <w:abstractNumId w:val="34"/>
  </w:num>
  <w:num w:numId="6">
    <w:abstractNumId w:val="11"/>
  </w:num>
  <w:num w:numId="7">
    <w:abstractNumId w:val="12"/>
  </w:num>
  <w:num w:numId="8">
    <w:abstractNumId w:val="5"/>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30"/>
  </w:num>
  <w:num w:numId="11">
    <w:abstractNumId w:val="32"/>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0"/>
  </w:num>
  <w:num w:numId="15">
    <w:abstractNumId w:val="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35"/>
  </w:num>
  <w:num w:numId="22">
    <w:abstractNumId w:val="41"/>
  </w:num>
  <w:num w:numId="23">
    <w:abstractNumId w:val="17"/>
  </w:num>
  <w:num w:numId="24">
    <w:abstractNumId w:val="0"/>
  </w:num>
  <w:num w:numId="25">
    <w:abstractNumId w:val="22"/>
  </w:num>
  <w:num w:numId="26">
    <w:abstractNumId w:val="8"/>
  </w:num>
  <w:num w:numId="27">
    <w:abstractNumId w:val="40"/>
  </w:num>
  <w:num w:numId="28">
    <w:abstractNumId w:val="39"/>
  </w:num>
  <w:num w:numId="29">
    <w:abstractNumId w:val="14"/>
  </w:num>
  <w:num w:numId="30">
    <w:abstractNumId w:val="3"/>
  </w:num>
  <w:num w:numId="31">
    <w:abstractNumId w:val="38"/>
  </w:num>
  <w:num w:numId="32">
    <w:abstractNumId w:val="36"/>
  </w:num>
  <w:num w:numId="33">
    <w:abstractNumId w:val="24"/>
  </w:num>
  <w:num w:numId="34">
    <w:abstractNumId w:val="10"/>
  </w:num>
  <w:num w:numId="35">
    <w:abstractNumId w:val="13"/>
  </w:num>
  <w:num w:numId="36">
    <w:abstractNumId w:val="9"/>
  </w:num>
  <w:num w:numId="37">
    <w:abstractNumId w:val="25"/>
  </w:num>
  <w:num w:numId="38">
    <w:abstractNumId w:val="1"/>
  </w:num>
  <w:num w:numId="39">
    <w:abstractNumId w:val="28"/>
  </w:num>
  <w:num w:numId="40">
    <w:abstractNumId w:val="16"/>
  </w:num>
  <w:num w:numId="41">
    <w:abstractNumId w:val="29"/>
  </w:num>
  <w:num w:numId="42">
    <w:abstractNumId w:val="21"/>
  </w:num>
  <w:num w:numId="43">
    <w:abstractNumId w:val="43"/>
  </w:num>
  <w:num w:numId="44">
    <w:abstractNumId w:val="37"/>
  </w:num>
  <w:num w:numId="45">
    <w:abstractNumId w:val="26"/>
  </w:num>
  <w:num w:numId="46">
    <w:abstractNumId w:val="42"/>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26B"/>
    <w:rsid w:val="00001195"/>
    <w:rsid w:val="00003531"/>
    <w:rsid w:val="00003982"/>
    <w:rsid w:val="00004D31"/>
    <w:rsid w:val="0000500F"/>
    <w:rsid w:val="000064B0"/>
    <w:rsid w:val="00006CFC"/>
    <w:rsid w:val="00007F8B"/>
    <w:rsid w:val="00012B7D"/>
    <w:rsid w:val="00013F9F"/>
    <w:rsid w:val="000156EA"/>
    <w:rsid w:val="000212D1"/>
    <w:rsid w:val="0002556D"/>
    <w:rsid w:val="00026549"/>
    <w:rsid w:val="00026790"/>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63CBD"/>
    <w:rsid w:val="00064E64"/>
    <w:rsid w:val="000701A7"/>
    <w:rsid w:val="00072099"/>
    <w:rsid w:val="0007554E"/>
    <w:rsid w:val="00081B22"/>
    <w:rsid w:val="00086CF1"/>
    <w:rsid w:val="00091235"/>
    <w:rsid w:val="000942D7"/>
    <w:rsid w:val="0009640F"/>
    <w:rsid w:val="000967F0"/>
    <w:rsid w:val="000A2DF6"/>
    <w:rsid w:val="000A399E"/>
    <w:rsid w:val="000A4435"/>
    <w:rsid w:val="000A4594"/>
    <w:rsid w:val="000B1DB1"/>
    <w:rsid w:val="000C32ED"/>
    <w:rsid w:val="000D2989"/>
    <w:rsid w:val="000D4F0A"/>
    <w:rsid w:val="000D52BD"/>
    <w:rsid w:val="000E0BB3"/>
    <w:rsid w:val="000E1C56"/>
    <w:rsid w:val="000E4ACE"/>
    <w:rsid w:val="000E6361"/>
    <w:rsid w:val="000F1159"/>
    <w:rsid w:val="000F13EC"/>
    <w:rsid w:val="000F4999"/>
    <w:rsid w:val="000F6961"/>
    <w:rsid w:val="00100DEA"/>
    <w:rsid w:val="001011F2"/>
    <w:rsid w:val="00102130"/>
    <w:rsid w:val="00104C22"/>
    <w:rsid w:val="00104DA6"/>
    <w:rsid w:val="001057CC"/>
    <w:rsid w:val="00107947"/>
    <w:rsid w:val="00110A47"/>
    <w:rsid w:val="00112699"/>
    <w:rsid w:val="001148F9"/>
    <w:rsid w:val="0011611A"/>
    <w:rsid w:val="0011718D"/>
    <w:rsid w:val="001216EB"/>
    <w:rsid w:val="00123340"/>
    <w:rsid w:val="0012374B"/>
    <w:rsid w:val="00124864"/>
    <w:rsid w:val="00125782"/>
    <w:rsid w:val="00126FB0"/>
    <w:rsid w:val="001327CD"/>
    <w:rsid w:val="00132EFF"/>
    <w:rsid w:val="00133266"/>
    <w:rsid w:val="001347BB"/>
    <w:rsid w:val="00135DC2"/>
    <w:rsid w:val="00136511"/>
    <w:rsid w:val="00136A26"/>
    <w:rsid w:val="001405B1"/>
    <w:rsid w:val="001435A5"/>
    <w:rsid w:val="0014567B"/>
    <w:rsid w:val="00146CE0"/>
    <w:rsid w:val="00150962"/>
    <w:rsid w:val="00156C66"/>
    <w:rsid w:val="0016219F"/>
    <w:rsid w:val="001629E6"/>
    <w:rsid w:val="00163E91"/>
    <w:rsid w:val="00167D75"/>
    <w:rsid w:val="00172E2C"/>
    <w:rsid w:val="001742C5"/>
    <w:rsid w:val="0017663F"/>
    <w:rsid w:val="00176930"/>
    <w:rsid w:val="00180D3D"/>
    <w:rsid w:val="001826D0"/>
    <w:rsid w:val="00183E54"/>
    <w:rsid w:val="001869D5"/>
    <w:rsid w:val="00187C44"/>
    <w:rsid w:val="00190E6E"/>
    <w:rsid w:val="00193050"/>
    <w:rsid w:val="0019402D"/>
    <w:rsid w:val="0019776D"/>
    <w:rsid w:val="001A2425"/>
    <w:rsid w:val="001A242D"/>
    <w:rsid w:val="001B5DF8"/>
    <w:rsid w:val="001B740C"/>
    <w:rsid w:val="001B77F5"/>
    <w:rsid w:val="001C0C92"/>
    <w:rsid w:val="001C5B49"/>
    <w:rsid w:val="001D71C4"/>
    <w:rsid w:val="001E0127"/>
    <w:rsid w:val="001E20B1"/>
    <w:rsid w:val="001E6DA7"/>
    <w:rsid w:val="001E787D"/>
    <w:rsid w:val="001E7E8B"/>
    <w:rsid w:val="001F5819"/>
    <w:rsid w:val="001F6BE3"/>
    <w:rsid w:val="001F7FE7"/>
    <w:rsid w:val="00204B1B"/>
    <w:rsid w:val="002057CA"/>
    <w:rsid w:val="00205C5F"/>
    <w:rsid w:val="002075D4"/>
    <w:rsid w:val="00217244"/>
    <w:rsid w:val="00221DB9"/>
    <w:rsid w:val="00222933"/>
    <w:rsid w:val="00223488"/>
    <w:rsid w:val="00227265"/>
    <w:rsid w:val="00227A83"/>
    <w:rsid w:val="002303CB"/>
    <w:rsid w:val="00231DE7"/>
    <w:rsid w:val="00231EC8"/>
    <w:rsid w:val="00240FF8"/>
    <w:rsid w:val="002433BB"/>
    <w:rsid w:val="00245905"/>
    <w:rsid w:val="00250756"/>
    <w:rsid w:val="00250CAA"/>
    <w:rsid w:val="00252783"/>
    <w:rsid w:val="0026092A"/>
    <w:rsid w:val="00262BD5"/>
    <w:rsid w:val="00264160"/>
    <w:rsid w:val="00264923"/>
    <w:rsid w:val="00267128"/>
    <w:rsid w:val="002674AF"/>
    <w:rsid w:val="002707BB"/>
    <w:rsid w:val="002733FE"/>
    <w:rsid w:val="0027463C"/>
    <w:rsid w:val="00287123"/>
    <w:rsid w:val="002A4E20"/>
    <w:rsid w:val="002A57BC"/>
    <w:rsid w:val="002B10A7"/>
    <w:rsid w:val="002B4B5B"/>
    <w:rsid w:val="002B73B4"/>
    <w:rsid w:val="002C00EF"/>
    <w:rsid w:val="002C30FD"/>
    <w:rsid w:val="002C4A5B"/>
    <w:rsid w:val="002D02AE"/>
    <w:rsid w:val="002D3D77"/>
    <w:rsid w:val="002D4048"/>
    <w:rsid w:val="002D4C48"/>
    <w:rsid w:val="002D5539"/>
    <w:rsid w:val="002D5DC2"/>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068D1"/>
    <w:rsid w:val="00312AD1"/>
    <w:rsid w:val="003211EE"/>
    <w:rsid w:val="00321813"/>
    <w:rsid w:val="003239F6"/>
    <w:rsid w:val="00327184"/>
    <w:rsid w:val="00327502"/>
    <w:rsid w:val="003301A0"/>
    <w:rsid w:val="00334481"/>
    <w:rsid w:val="00334FBA"/>
    <w:rsid w:val="0033561D"/>
    <w:rsid w:val="00337844"/>
    <w:rsid w:val="00341005"/>
    <w:rsid w:val="00341F7A"/>
    <w:rsid w:val="00347FCC"/>
    <w:rsid w:val="00351688"/>
    <w:rsid w:val="00360BBA"/>
    <w:rsid w:val="0036214B"/>
    <w:rsid w:val="00363DA4"/>
    <w:rsid w:val="003653A4"/>
    <w:rsid w:val="003666C4"/>
    <w:rsid w:val="003726E7"/>
    <w:rsid w:val="00372A60"/>
    <w:rsid w:val="00373BA7"/>
    <w:rsid w:val="00373FE1"/>
    <w:rsid w:val="00374F77"/>
    <w:rsid w:val="0037579A"/>
    <w:rsid w:val="00376A7B"/>
    <w:rsid w:val="003808DE"/>
    <w:rsid w:val="00380ED0"/>
    <w:rsid w:val="00381E4A"/>
    <w:rsid w:val="00382A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B605B"/>
    <w:rsid w:val="003C0902"/>
    <w:rsid w:val="003C09F4"/>
    <w:rsid w:val="003C2A89"/>
    <w:rsid w:val="003C3D8E"/>
    <w:rsid w:val="003D0552"/>
    <w:rsid w:val="003D1040"/>
    <w:rsid w:val="003D1D3B"/>
    <w:rsid w:val="003D3350"/>
    <w:rsid w:val="003E3040"/>
    <w:rsid w:val="003E51A4"/>
    <w:rsid w:val="003E538B"/>
    <w:rsid w:val="003E5AF3"/>
    <w:rsid w:val="003E680D"/>
    <w:rsid w:val="003E7EDB"/>
    <w:rsid w:val="003F19BA"/>
    <w:rsid w:val="003F271C"/>
    <w:rsid w:val="003F2ED0"/>
    <w:rsid w:val="003F36DC"/>
    <w:rsid w:val="003F3CED"/>
    <w:rsid w:val="00401397"/>
    <w:rsid w:val="00401C00"/>
    <w:rsid w:val="00404494"/>
    <w:rsid w:val="00406DB7"/>
    <w:rsid w:val="004120DC"/>
    <w:rsid w:val="00415529"/>
    <w:rsid w:val="00417F94"/>
    <w:rsid w:val="00421FBF"/>
    <w:rsid w:val="00422F26"/>
    <w:rsid w:val="00431C82"/>
    <w:rsid w:val="004333C6"/>
    <w:rsid w:val="00433E5F"/>
    <w:rsid w:val="0043558C"/>
    <w:rsid w:val="00436C0F"/>
    <w:rsid w:val="00437191"/>
    <w:rsid w:val="00444560"/>
    <w:rsid w:val="00445B3F"/>
    <w:rsid w:val="00447427"/>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409E"/>
    <w:rsid w:val="004A5DFC"/>
    <w:rsid w:val="004B03AD"/>
    <w:rsid w:val="004B085A"/>
    <w:rsid w:val="004C3841"/>
    <w:rsid w:val="004C3E53"/>
    <w:rsid w:val="004D1572"/>
    <w:rsid w:val="004D2483"/>
    <w:rsid w:val="004D625E"/>
    <w:rsid w:val="004D631D"/>
    <w:rsid w:val="004D6D90"/>
    <w:rsid w:val="004E00F5"/>
    <w:rsid w:val="004E18CB"/>
    <w:rsid w:val="004E2BB0"/>
    <w:rsid w:val="004E684F"/>
    <w:rsid w:val="004E6DBA"/>
    <w:rsid w:val="004E794E"/>
    <w:rsid w:val="004E7D1A"/>
    <w:rsid w:val="004F05BD"/>
    <w:rsid w:val="004F060A"/>
    <w:rsid w:val="004F1307"/>
    <w:rsid w:val="004F2B99"/>
    <w:rsid w:val="004F3BD9"/>
    <w:rsid w:val="004F428F"/>
    <w:rsid w:val="004F58E9"/>
    <w:rsid w:val="004F6CD9"/>
    <w:rsid w:val="00500BA1"/>
    <w:rsid w:val="00501DBE"/>
    <w:rsid w:val="0050394C"/>
    <w:rsid w:val="005108F9"/>
    <w:rsid w:val="00513E18"/>
    <w:rsid w:val="00514335"/>
    <w:rsid w:val="005145D6"/>
    <w:rsid w:val="00515988"/>
    <w:rsid w:val="00520175"/>
    <w:rsid w:val="005205A6"/>
    <w:rsid w:val="00522942"/>
    <w:rsid w:val="0052331D"/>
    <w:rsid w:val="00524EF2"/>
    <w:rsid w:val="00527419"/>
    <w:rsid w:val="00527444"/>
    <w:rsid w:val="00530051"/>
    <w:rsid w:val="00531E30"/>
    <w:rsid w:val="00532361"/>
    <w:rsid w:val="005374B9"/>
    <w:rsid w:val="0054397F"/>
    <w:rsid w:val="00545391"/>
    <w:rsid w:val="00546B2E"/>
    <w:rsid w:val="00550A82"/>
    <w:rsid w:val="00551015"/>
    <w:rsid w:val="00551598"/>
    <w:rsid w:val="00555944"/>
    <w:rsid w:val="00561A17"/>
    <w:rsid w:val="00563290"/>
    <w:rsid w:val="005718F3"/>
    <w:rsid w:val="00571FC1"/>
    <w:rsid w:val="005722D4"/>
    <w:rsid w:val="00573EBA"/>
    <w:rsid w:val="00577741"/>
    <w:rsid w:val="005778E2"/>
    <w:rsid w:val="00581A85"/>
    <w:rsid w:val="0058265B"/>
    <w:rsid w:val="00586B47"/>
    <w:rsid w:val="0059298A"/>
    <w:rsid w:val="00594DA4"/>
    <w:rsid w:val="005A10D3"/>
    <w:rsid w:val="005A1259"/>
    <w:rsid w:val="005A1303"/>
    <w:rsid w:val="005A14A2"/>
    <w:rsid w:val="005A265F"/>
    <w:rsid w:val="005A46C4"/>
    <w:rsid w:val="005A4D34"/>
    <w:rsid w:val="005A4EA6"/>
    <w:rsid w:val="005A5BB6"/>
    <w:rsid w:val="005A6208"/>
    <w:rsid w:val="005A736F"/>
    <w:rsid w:val="005A7855"/>
    <w:rsid w:val="005B0E08"/>
    <w:rsid w:val="005B23B2"/>
    <w:rsid w:val="005B4099"/>
    <w:rsid w:val="005C4E4E"/>
    <w:rsid w:val="005C553F"/>
    <w:rsid w:val="005C5CC0"/>
    <w:rsid w:val="005D3292"/>
    <w:rsid w:val="005D6459"/>
    <w:rsid w:val="005D72AF"/>
    <w:rsid w:val="005E01F3"/>
    <w:rsid w:val="005E0393"/>
    <w:rsid w:val="005E0412"/>
    <w:rsid w:val="005E1798"/>
    <w:rsid w:val="005E1987"/>
    <w:rsid w:val="005E3FD7"/>
    <w:rsid w:val="005E524C"/>
    <w:rsid w:val="005F0D38"/>
    <w:rsid w:val="005F46E2"/>
    <w:rsid w:val="005F6A36"/>
    <w:rsid w:val="005F6DEF"/>
    <w:rsid w:val="005F7036"/>
    <w:rsid w:val="005F7E28"/>
    <w:rsid w:val="00600768"/>
    <w:rsid w:val="006009EF"/>
    <w:rsid w:val="00600FDD"/>
    <w:rsid w:val="006049EF"/>
    <w:rsid w:val="006062A0"/>
    <w:rsid w:val="00610179"/>
    <w:rsid w:val="00611ED1"/>
    <w:rsid w:val="00613872"/>
    <w:rsid w:val="00615051"/>
    <w:rsid w:val="00621409"/>
    <w:rsid w:val="0062320B"/>
    <w:rsid w:val="00623A6F"/>
    <w:rsid w:val="0062546F"/>
    <w:rsid w:val="00625F5D"/>
    <w:rsid w:val="00630FBE"/>
    <w:rsid w:val="00631B22"/>
    <w:rsid w:val="00632D9B"/>
    <w:rsid w:val="0063525D"/>
    <w:rsid w:val="00635680"/>
    <w:rsid w:val="0064287C"/>
    <w:rsid w:val="00646D16"/>
    <w:rsid w:val="00647600"/>
    <w:rsid w:val="00657FD4"/>
    <w:rsid w:val="00663722"/>
    <w:rsid w:val="00670B41"/>
    <w:rsid w:val="00670FD1"/>
    <w:rsid w:val="00671F53"/>
    <w:rsid w:val="006748F1"/>
    <w:rsid w:val="0067590A"/>
    <w:rsid w:val="00680047"/>
    <w:rsid w:val="006801F9"/>
    <w:rsid w:val="00681090"/>
    <w:rsid w:val="00683963"/>
    <w:rsid w:val="006861D0"/>
    <w:rsid w:val="0068650C"/>
    <w:rsid w:val="00687A8C"/>
    <w:rsid w:val="00692057"/>
    <w:rsid w:val="00693452"/>
    <w:rsid w:val="00695176"/>
    <w:rsid w:val="0069645C"/>
    <w:rsid w:val="00696B01"/>
    <w:rsid w:val="006973D0"/>
    <w:rsid w:val="006A040B"/>
    <w:rsid w:val="006A1168"/>
    <w:rsid w:val="006A3C17"/>
    <w:rsid w:val="006B21D6"/>
    <w:rsid w:val="006B4750"/>
    <w:rsid w:val="006C2AE0"/>
    <w:rsid w:val="006C2B22"/>
    <w:rsid w:val="006C2ECD"/>
    <w:rsid w:val="006C4A1B"/>
    <w:rsid w:val="006D106C"/>
    <w:rsid w:val="006D1C6D"/>
    <w:rsid w:val="006D5BCC"/>
    <w:rsid w:val="006D6009"/>
    <w:rsid w:val="006D668A"/>
    <w:rsid w:val="006E38DE"/>
    <w:rsid w:val="006E44B9"/>
    <w:rsid w:val="006E4FE8"/>
    <w:rsid w:val="006E52F0"/>
    <w:rsid w:val="006E7B95"/>
    <w:rsid w:val="006F0298"/>
    <w:rsid w:val="006F091D"/>
    <w:rsid w:val="006F2180"/>
    <w:rsid w:val="006F7AEA"/>
    <w:rsid w:val="00701DDB"/>
    <w:rsid w:val="00704FD1"/>
    <w:rsid w:val="00706466"/>
    <w:rsid w:val="00707E18"/>
    <w:rsid w:val="00707E86"/>
    <w:rsid w:val="00710ABB"/>
    <w:rsid w:val="00716304"/>
    <w:rsid w:val="007232EE"/>
    <w:rsid w:val="00734496"/>
    <w:rsid w:val="00734BAC"/>
    <w:rsid w:val="00735DE8"/>
    <w:rsid w:val="007363A1"/>
    <w:rsid w:val="00747127"/>
    <w:rsid w:val="00747D50"/>
    <w:rsid w:val="00747DDF"/>
    <w:rsid w:val="00752CA3"/>
    <w:rsid w:val="007574CF"/>
    <w:rsid w:val="007667AF"/>
    <w:rsid w:val="007678B0"/>
    <w:rsid w:val="00780020"/>
    <w:rsid w:val="00780245"/>
    <w:rsid w:val="00781321"/>
    <w:rsid w:val="00781AC6"/>
    <w:rsid w:val="00782CF4"/>
    <w:rsid w:val="007839AF"/>
    <w:rsid w:val="00784CED"/>
    <w:rsid w:val="00785DAE"/>
    <w:rsid w:val="00793D2D"/>
    <w:rsid w:val="00794494"/>
    <w:rsid w:val="00795CF1"/>
    <w:rsid w:val="007963FE"/>
    <w:rsid w:val="00797762"/>
    <w:rsid w:val="007A1166"/>
    <w:rsid w:val="007A5A2C"/>
    <w:rsid w:val="007B1022"/>
    <w:rsid w:val="007B3863"/>
    <w:rsid w:val="007B3B10"/>
    <w:rsid w:val="007B48C6"/>
    <w:rsid w:val="007B4B95"/>
    <w:rsid w:val="007B63D3"/>
    <w:rsid w:val="007B7F7E"/>
    <w:rsid w:val="007C0463"/>
    <w:rsid w:val="007C0935"/>
    <w:rsid w:val="007C2956"/>
    <w:rsid w:val="007C6BE5"/>
    <w:rsid w:val="007D04D3"/>
    <w:rsid w:val="007D23D2"/>
    <w:rsid w:val="007D2B22"/>
    <w:rsid w:val="007D3B66"/>
    <w:rsid w:val="007E263B"/>
    <w:rsid w:val="007E2C1F"/>
    <w:rsid w:val="007E3847"/>
    <w:rsid w:val="007E6C03"/>
    <w:rsid w:val="007E6C65"/>
    <w:rsid w:val="007F14DA"/>
    <w:rsid w:val="007F2929"/>
    <w:rsid w:val="007F3FAA"/>
    <w:rsid w:val="007F4F5F"/>
    <w:rsid w:val="00800E39"/>
    <w:rsid w:val="00801DF3"/>
    <w:rsid w:val="008034E5"/>
    <w:rsid w:val="00803C5D"/>
    <w:rsid w:val="008055D4"/>
    <w:rsid w:val="00805DE6"/>
    <w:rsid w:val="008079AD"/>
    <w:rsid w:val="00810FE9"/>
    <w:rsid w:val="00812530"/>
    <w:rsid w:val="0081264E"/>
    <w:rsid w:val="00812BDE"/>
    <w:rsid w:val="00812D6C"/>
    <w:rsid w:val="00820293"/>
    <w:rsid w:val="008231E6"/>
    <w:rsid w:val="008256CA"/>
    <w:rsid w:val="00825BD1"/>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4AF9"/>
    <w:rsid w:val="00866C34"/>
    <w:rsid w:val="00866E3E"/>
    <w:rsid w:val="00874B84"/>
    <w:rsid w:val="00890043"/>
    <w:rsid w:val="00891A90"/>
    <w:rsid w:val="00894FE2"/>
    <w:rsid w:val="008967E4"/>
    <w:rsid w:val="008968C9"/>
    <w:rsid w:val="00896954"/>
    <w:rsid w:val="00896DD5"/>
    <w:rsid w:val="008A0034"/>
    <w:rsid w:val="008A3C88"/>
    <w:rsid w:val="008A552C"/>
    <w:rsid w:val="008A56EA"/>
    <w:rsid w:val="008B5E21"/>
    <w:rsid w:val="008B703B"/>
    <w:rsid w:val="008C1349"/>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3C6"/>
    <w:rsid w:val="0091384B"/>
    <w:rsid w:val="00916B7A"/>
    <w:rsid w:val="00920DFA"/>
    <w:rsid w:val="009213AC"/>
    <w:rsid w:val="0092307B"/>
    <w:rsid w:val="009233A9"/>
    <w:rsid w:val="00931B41"/>
    <w:rsid w:val="0093220F"/>
    <w:rsid w:val="0093392C"/>
    <w:rsid w:val="00935886"/>
    <w:rsid w:val="0093626A"/>
    <w:rsid w:val="00936953"/>
    <w:rsid w:val="00937108"/>
    <w:rsid w:val="00940994"/>
    <w:rsid w:val="009409FF"/>
    <w:rsid w:val="00940FBD"/>
    <w:rsid w:val="009415EF"/>
    <w:rsid w:val="00941F4D"/>
    <w:rsid w:val="00944A15"/>
    <w:rsid w:val="00944FA3"/>
    <w:rsid w:val="00945737"/>
    <w:rsid w:val="00946A13"/>
    <w:rsid w:val="00955E09"/>
    <w:rsid w:val="009566EB"/>
    <w:rsid w:val="00962177"/>
    <w:rsid w:val="00962843"/>
    <w:rsid w:val="00966634"/>
    <w:rsid w:val="00967E21"/>
    <w:rsid w:val="00970181"/>
    <w:rsid w:val="009707DE"/>
    <w:rsid w:val="009726FF"/>
    <w:rsid w:val="00973912"/>
    <w:rsid w:val="00974098"/>
    <w:rsid w:val="009839B5"/>
    <w:rsid w:val="0098462D"/>
    <w:rsid w:val="00986196"/>
    <w:rsid w:val="00987D51"/>
    <w:rsid w:val="00994445"/>
    <w:rsid w:val="00996E70"/>
    <w:rsid w:val="009A1FF5"/>
    <w:rsid w:val="009A205A"/>
    <w:rsid w:val="009A3782"/>
    <w:rsid w:val="009A46E0"/>
    <w:rsid w:val="009A50E6"/>
    <w:rsid w:val="009A570E"/>
    <w:rsid w:val="009A704A"/>
    <w:rsid w:val="009B6135"/>
    <w:rsid w:val="009C06C6"/>
    <w:rsid w:val="009C1A4A"/>
    <w:rsid w:val="009C52A4"/>
    <w:rsid w:val="009C7078"/>
    <w:rsid w:val="009C70D2"/>
    <w:rsid w:val="009D15E5"/>
    <w:rsid w:val="009D32AC"/>
    <w:rsid w:val="009D508A"/>
    <w:rsid w:val="009D78FC"/>
    <w:rsid w:val="009E0F69"/>
    <w:rsid w:val="009E1D0C"/>
    <w:rsid w:val="009E45D0"/>
    <w:rsid w:val="009E603A"/>
    <w:rsid w:val="009F4A6F"/>
    <w:rsid w:val="009F7831"/>
    <w:rsid w:val="00A009A9"/>
    <w:rsid w:val="00A0364F"/>
    <w:rsid w:val="00A03AB4"/>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23F8"/>
    <w:rsid w:val="00A62D74"/>
    <w:rsid w:val="00A630DD"/>
    <w:rsid w:val="00A71622"/>
    <w:rsid w:val="00A72B67"/>
    <w:rsid w:val="00A73620"/>
    <w:rsid w:val="00A752AB"/>
    <w:rsid w:val="00A76B0B"/>
    <w:rsid w:val="00A80BC0"/>
    <w:rsid w:val="00A80BC1"/>
    <w:rsid w:val="00A81511"/>
    <w:rsid w:val="00A81FC1"/>
    <w:rsid w:val="00A840F2"/>
    <w:rsid w:val="00A868CE"/>
    <w:rsid w:val="00A87719"/>
    <w:rsid w:val="00A91B8B"/>
    <w:rsid w:val="00A936EB"/>
    <w:rsid w:val="00A94670"/>
    <w:rsid w:val="00A95507"/>
    <w:rsid w:val="00AA59E0"/>
    <w:rsid w:val="00AA6417"/>
    <w:rsid w:val="00AB41C8"/>
    <w:rsid w:val="00AB4810"/>
    <w:rsid w:val="00AB5712"/>
    <w:rsid w:val="00AB6433"/>
    <w:rsid w:val="00AB64C0"/>
    <w:rsid w:val="00AB650C"/>
    <w:rsid w:val="00AB7153"/>
    <w:rsid w:val="00AB7432"/>
    <w:rsid w:val="00AC348B"/>
    <w:rsid w:val="00AC3842"/>
    <w:rsid w:val="00AC3E2E"/>
    <w:rsid w:val="00AC42D2"/>
    <w:rsid w:val="00AC5455"/>
    <w:rsid w:val="00AC638F"/>
    <w:rsid w:val="00AD2838"/>
    <w:rsid w:val="00AD5977"/>
    <w:rsid w:val="00AD6F54"/>
    <w:rsid w:val="00AD73DE"/>
    <w:rsid w:val="00AE5312"/>
    <w:rsid w:val="00AE5506"/>
    <w:rsid w:val="00AF0014"/>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4452"/>
    <w:rsid w:val="00B4486B"/>
    <w:rsid w:val="00B4603A"/>
    <w:rsid w:val="00B479BC"/>
    <w:rsid w:val="00B47D29"/>
    <w:rsid w:val="00B47FDC"/>
    <w:rsid w:val="00B55C41"/>
    <w:rsid w:val="00B56066"/>
    <w:rsid w:val="00B5745A"/>
    <w:rsid w:val="00B61691"/>
    <w:rsid w:val="00B62BC0"/>
    <w:rsid w:val="00B63BC7"/>
    <w:rsid w:val="00B63E6A"/>
    <w:rsid w:val="00B65C24"/>
    <w:rsid w:val="00B6716B"/>
    <w:rsid w:val="00B6731A"/>
    <w:rsid w:val="00B71A1B"/>
    <w:rsid w:val="00B75E83"/>
    <w:rsid w:val="00B8130A"/>
    <w:rsid w:val="00B82BBC"/>
    <w:rsid w:val="00B840F9"/>
    <w:rsid w:val="00B904A6"/>
    <w:rsid w:val="00B917FC"/>
    <w:rsid w:val="00B943A6"/>
    <w:rsid w:val="00B95576"/>
    <w:rsid w:val="00B9584B"/>
    <w:rsid w:val="00B966E0"/>
    <w:rsid w:val="00BA0422"/>
    <w:rsid w:val="00BA201C"/>
    <w:rsid w:val="00BA3C82"/>
    <w:rsid w:val="00BA4873"/>
    <w:rsid w:val="00BA7EC9"/>
    <w:rsid w:val="00BB135C"/>
    <w:rsid w:val="00BB179A"/>
    <w:rsid w:val="00BB60FE"/>
    <w:rsid w:val="00BC1337"/>
    <w:rsid w:val="00BC3527"/>
    <w:rsid w:val="00BC3A85"/>
    <w:rsid w:val="00BC539B"/>
    <w:rsid w:val="00BC64BC"/>
    <w:rsid w:val="00BD0DED"/>
    <w:rsid w:val="00BD6665"/>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25EB"/>
    <w:rsid w:val="00C249A3"/>
    <w:rsid w:val="00C24A09"/>
    <w:rsid w:val="00C24A79"/>
    <w:rsid w:val="00C24B30"/>
    <w:rsid w:val="00C24DAA"/>
    <w:rsid w:val="00C26115"/>
    <w:rsid w:val="00C26801"/>
    <w:rsid w:val="00C33CB2"/>
    <w:rsid w:val="00C358BB"/>
    <w:rsid w:val="00C405F3"/>
    <w:rsid w:val="00C421F3"/>
    <w:rsid w:val="00C45777"/>
    <w:rsid w:val="00C4649F"/>
    <w:rsid w:val="00C47F3A"/>
    <w:rsid w:val="00C50248"/>
    <w:rsid w:val="00C527CD"/>
    <w:rsid w:val="00C52BED"/>
    <w:rsid w:val="00C54F7C"/>
    <w:rsid w:val="00C5782E"/>
    <w:rsid w:val="00C57BAE"/>
    <w:rsid w:val="00C639B7"/>
    <w:rsid w:val="00C64091"/>
    <w:rsid w:val="00C66B7D"/>
    <w:rsid w:val="00C66B84"/>
    <w:rsid w:val="00C66FA0"/>
    <w:rsid w:val="00C7564A"/>
    <w:rsid w:val="00C8395A"/>
    <w:rsid w:val="00C85ABC"/>
    <w:rsid w:val="00C91E56"/>
    <w:rsid w:val="00CA32D6"/>
    <w:rsid w:val="00CA3683"/>
    <w:rsid w:val="00CA6B19"/>
    <w:rsid w:val="00CB39DE"/>
    <w:rsid w:val="00CB4792"/>
    <w:rsid w:val="00CC4576"/>
    <w:rsid w:val="00CC6B63"/>
    <w:rsid w:val="00CD65A0"/>
    <w:rsid w:val="00CD709D"/>
    <w:rsid w:val="00CE1831"/>
    <w:rsid w:val="00CE1B14"/>
    <w:rsid w:val="00CE2730"/>
    <w:rsid w:val="00CE3AEA"/>
    <w:rsid w:val="00CE3BE5"/>
    <w:rsid w:val="00CF2EBE"/>
    <w:rsid w:val="00CF3A37"/>
    <w:rsid w:val="00CF47B6"/>
    <w:rsid w:val="00D007AC"/>
    <w:rsid w:val="00D01193"/>
    <w:rsid w:val="00D0226F"/>
    <w:rsid w:val="00D02CF6"/>
    <w:rsid w:val="00D02F6D"/>
    <w:rsid w:val="00D12194"/>
    <w:rsid w:val="00D1386B"/>
    <w:rsid w:val="00D13B30"/>
    <w:rsid w:val="00D167AE"/>
    <w:rsid w:val="00D23A39"/>
    <w:rsid w:val="00D260A3"/>
    <w:rsid w:val="00D30064"/>
    <w:rsid w:val="00D30B85"/>
    <w:rsid w:val="00D341CA"/>
    <w:rsid w:val="00D36A83"/>
    <w:rsid w:val="00D40517"/>
    <w:rsid w:val="00D4156E"/>
    <w:rsid w:val="00D427E4"/>
    <w:rsid w:val="00D442A0"/>
    <w:rsid w:val="00D45916"/>
    <w:rsid w:val="00D5066D"/>
    <w:rsid w:val="00D55E9A"/>
    <w:rsid w:val="00D55FAC"/>
    <w:rsid w:val="00D57DFA"/>
    <w:rsid w:val="00D63608"/>
    <w:rsid w:val="00D650B6"/>
    <w:rsid w:val="00D660EC"/>
    <w:rsid w:val="00D67C6A"/>
    <w:rsid w:val="00D704B5"/>
    <w:rsid w:val="00D70B37"/>
    <w:rsid w:val="00D7464B"/>
    <w:rsid w:val="00D774E8"/>
    <w:rsid w:val="00D801E6"/>
    <w:rsid w:val="00D8085E"/>
    <w:rsid w:val="00D80870"/>
    <w:rsid w:val="00D8170F"/>
    <w:rsid w:val="00D875EA"/>
    <w:rsid w:val="00D91629"/>
    <w:rsid w:val="00D9197E"/>
    <w:rsid w:val="00D9287F"/>
    <w:rsid w:val="00D95EF6"/>
    <w:rsid w:val="00D9779E"/>
    <w:rsid w:val="00D97835"/>
    <w:rsid w:val="00DA005C"/>
    <w:rsid w:val="00DA0D9B"/>
    <w:rsid w:val="00DA273A"/>
    <w:rsid w:val="00DA3126"/>
    <w:rsid w:val="00DA3E64"/>
    <w:rsid w:val="00DA4E49"/>
    <w:rsid w:val="00DB2406"/>
    <w:rsid w:val="00DB5829"/>
    <w:rsid w:val="00DB7341"/>
    <w:rsid w:val="00DC0CF2"/>
    <w:rsid w:val="00DC504A"/>
    <w:rsid w:val="00DC7156"/>
    <w:rsid w:val="00DD1ABC"/>
    <w:rsid w:val="00DD3E70"/>
    <w:rsid w:val="00DD6CBF"/>
    <w:rsid w:val="00DD75DB"/>
    <w:rsid w:val="00DE05B8"/>
    <w:rsid w:val="00DE3A92"/>
    <w:rsid w:val="00DE4971"/>
    <w:rsid w:val="00DE5DC5"/>
    <w:rsid w:val="00DE5F09"/>
    <w:rsid w:val="00DF0045"/>
    <w:rsid w:val="00DF1EDB"/>
    <w:rsid w:val="00DF5F06"/>
    <w:rsid w:val="00E01C8C"/>
    <w:rsid w:val="00E01EDB"/>
    <w:rsid w:val="00E04637"/>
    <w:rsid w:val="00E05301"/>
    <w:rsid w:val="00E053CD"/>
    <w:rsid w:val="00E05958"/>
    <w:rsid w:val="00E05989"/>
    <w:rsid w:val="00E0763F"/>
    <w:rsid w:val="00E20730"/>
    <w:rsid w:val="00E215CB"/>
    <w:rsid w:val="00E21774"/>
    <w:rsid w:val="00E21867"/>
    <w:rsid w:val="00E22D9D"/>
    <w:rsid w:val="00E231ED"/>
    <w:rsid w:val="00E23480"/>
    <w:rsid w:val="00E244F1"/>
    <w:rsid w:val="00E24C48"/>
    <w:rsid w:val="00E25B39"/>
    <w:rsid w:val="00E25E5C"/>
    <w:rsid w:val="00E41631"/>
    <w:rsid w:val="00E45AAF"/>
    <w:rsid w:val="00E45D3C"/>
    <w:rsid w:val="00E54AB5"/>
    <w:rsid w:val="00E55CCD"/>
    <w:rsid w:val="00E630D0"/>
    <w:rsid w:val="00E64F4C"/>
    <w:rsid w:val="00E65B57"/>
    <w:rsid w:val="00E66060"/>
    <w:rsid w:val="00E674AB"/>
    <w:rsid w:val="00E71CB9"/>
    <w:rsid w:val="00E74BE7"/>
    <w:rsid w:val="00E753EA"/>
    <w:rsid w:val="00E8002A"/>
    <w:rsid w:val="00E80ED7"/>
    <w:rsid w:val="00E8529A"/>
    <w:rsid w:val="00E871BA"/>
    <w:rsid w:val="00E9157C"/>
    <w:rsid w:val="00E9485D"/>
    <w:rsid w:val="00E97E6C"/>
    <w:rsid w:val="00EA1624"/>
    <w:rsid w:val="00EA1E0E"/>
    <w:rsid w:val="00EA668B"/>
    <w:rsid w:val="00EB0333"/>
    <w:rsid w:val="00EB0ECA"/>
    <w:rsid w:val="00EB20CF"/>
    <w:rsid w:val="00EB22C8"/>
    <w:rsid w:val="00EC1267"/>
    <w:rsid w:val="00EC1E81"/>
    <w:rsid w:val="00EC4AE1"/>
    <w:rsid w:val="00EC60A5"/>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E732E"/>
    <w:rsid w:val="00EF3B2C"/>
    <w:rsid w:val="00EF4104"/>
    <w:rsid w:val="00EF7044"/>
    <w:rsid w:val="00EF7303"/>
    <w:rsid w:val="00EF7EA0"/>
    <w:rsid w:val="00F01192"/>
    <w:rsid w:val="00F019D9"/>
    <w:rsid w:val="00F03332"/>
    <w:rsid w:val="00F034C4"/>
    <w:rsid w:val="00F075E1"/>
    <w:rsid w:val="00F077AB"/>
    <w:rsid w:val="00F130F0"/>
    <w:rsid w:val="00F20045"/>
    <w:rsid w:val="00F22EF5"/>
    <w:rsid w:val="00F23B21"/>
    <w:rsid w:val="00F24B76"/>
    <w:rsid w:val="00F2555A"/>
    <w:rsid w:val="00F25F20"/>
    <w:rsid w:val="00F26D0B"/>
    <w:rsid w:val="00F323DC"/>
    <w:rsid w:val="00F333F7"/>
    <w:rsid w:val="00F36D74"/>
    <w:rsid w:val="00F4025C"/>
    <w:rsid w:val="00F4212F"/>
    <w:rsid w:val="00F436BC"/>
    <w:rsid w:val="00F54C4D"/>
    <w:rsid w:val="00F564F4"/>
    <w:rsid w:val="00F5771C"/>
    <w:rsid w:val="00F65499"/>
    <w:rsid w:val="00F67D6C"/>
    <w:rsid w:val="00F71555"/>
    <w:rsid w:val="00F76553"/>
    <w:rsid w:val="00F779B1"/>
    <w:rsid w:val="00F821DB"/>
    <w:rsid w:val="00F83D96"/>
    <w:rsid w:val="00F8522E"/>
    <w:rsid w:val="00F90848"/>
    <w:rsid w:val="00F94870"/>
    <w:rsid w:val="00F94A5F"/>
    <w:rsid w:val="00F969A0"/>
    <w:rsid w:val="00F9750C"/>
    <w:rsid w:val="00FA7122"/>
    <w:rsid w:val="00FA74FB"/>
    <w:rsid w:val="00FB2ACE"/>
    <w:rsid w:val="00FB2C38"/>
    <w:rsid w:val="00FB38EF"/>
    <w:rsid w:val="00FB47A0"/>
    <w:rsid w:val="00FB5018"/>
    <w:rsid w:val="00FB6678"/>
    <w:rsid w:val="00FC3A54"/>
    <w:rsid w:val="00FC559F"/>
    <w:rsid w:val="00FD09CD"/>
    <w:rsid w:val="00FD1F30"/>
    <w:rsid w:val="00FD5D2D"/>
    <w:rsid w:val="00FD6260"/>
    <w:rsid w:val="00FE2779"/>
    <w:rsid w:val="00FE297C"/>
    <w:rsid w:val="00FE503B"/>
    <w:rsid w:val="00FE779D"/>
    <w:rsid w:val="00FF0618"/>
    <w:rsid w:val="00FF25BC"/>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0">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0"/>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NO">
    <w:name w:val="NO"/>
    <w:basedOn w:val="a"/>
    <w:link w:val="NOChar"/>
    <w:qFormat/>
    <w:rsid w:val="00DE5F09"/>
    <w:pPr>
      <w:keepLines/>
      <w:spacing w:after="180"/>
      <w:ind w:left="1135" w:hanging="851"/>
      <w:jc w:val="left"/>
      <w:textAlignment w:val="baseline"/>
    </w:pPr>
    <w:rPr>
      <w:rFonts w:eastAsia="Times New Roman"/>
      <w:lang w:eastAsia="ja-JP"/>
    </w:rPr>
  </w:style>
  <w:style w:type="character" w:customStyle="1" w:styleId="NOChar">
    <w:name w:val="NO Char"/>
    <w:link w:val="NO"/>
    <w:qFormat/>
    <w:rsid w:val="00DE5F09"/>
    <w:rPr>
      <w:rFonts w:ascii="Times New Roman" w:eastAsia="Times New Roman" w:hAnsi="Times New Roman" w:cs="Times New Roman"/>
      <w:sz w:val="20"/>
      <w:szCs w:val="20"/>
      <w:lang w:val="en-GB" w:eastAsia="ja-JP"/>
    </w:rPr>
  </w:style>
  <w:style w:type="character" w:customStyle="1" w:styleId="TALCar">
    <w:name w:val="TAL Car"/>
    <w:link w:val="TAL"/>
    <w:qFormat/>
    <w:locked/>
    <w:rsid w:val="00BA3C82"/>
    <w:rPr>
      <w:rFonts w:ascii="Arial" w:eastAsia="Times New Roman" w:hAnsi="Arial" w:cs="Arial"/>
      <w:sz w:val="18"/>
    </w:rPr>
  </w:style>
  <w:style w:type="paragraph" w:customStyle="1" w:styleId="TAL">
    <w:name w:val="TAL"/>
    <w:basedOn w:val="a"/>
    <w:link w:val="TALCar"/>
    <w:qFormat/>
    <w:rsid w:val="00BA3C82"/>
    <w:pPr>
      <w:keepNext/>
      <w:keepLines/>
      <w:spacing w:after="0"/>
      <w:jc w:val="left"/>
    </w:pPr>
    <w:rPr>
      <w:rFonts w:ascii="Arial" w:eastAsia="Times New Roman" w:hAnsi="Arial" w:cs="Arial"/>
      <w:sz w:val="18"/>
      <w:szCs w:val="22"/>
      <w:lang w:val="en-US" w:eastAsia="en-US"/>
    </w:rPr>
  </w:style>
  <w:style w:type="character" w:customStyle="1" w:styleId="B1Char1">
    <w:name w:val="B1 Char1"/>
    <w:link w:val="B1"/>
    <w:qFormat/>
    <w:locked/>
    <w:rsid w:val="00BA3C82"/>
    <w:rPr>
      <w:rFonts w:ascii="Times New Roman" w:eastAsia="Times New Roman" w:hAnsi="Times New Roman" w:cs="Times New Roman"/>
    </w:rPr>
  </w:style>
  <w:style w:type="paragraph" w:customStyle="1" w:styleId="B1">
    <w:name w:val="B1"/>
    <w:basedOn w:val="af7"/>
    <w:link w:val="B1Char1"/>
    <w:qFormat/>
    <w:rsid w:val="00BA3C82"/>
    <w:pPr>
      <w:spacing w:after="180"/>
      <w:ind w:left="568" w:firstLineChars="0" w:hanging="284"/>
      <w:contextualSpacing w:val="0"/>
      <w:jc w:val="left"/>
    </w:pPr>
    <w:rPr>
      <w:rFonts w:eastAsia="Times New Roman"/>
      <w:sz w:val="22"/>
      <w:szCs w:val="22"/>
      <w:lang w:val="en-US" w:eastAsia="en-US"/>
    </w:rPr>
  </w:style>
  <w:style w:type="paragraph" w:styleId="af7">
    <w:name w:val="List"/>
    <w:basedOn w:val="a"/>
    <w:uiPriority w:val="99"/>
    <w:semiHidden/>
    <w:unhideWhenUsed/>
    <w:rsid w:val="00BA3C82"/>
    <w:pPr>
      <w:ind w:left="200" w:hangingChars="200" w:hanging="200"/>
      <w:contextualSpacing/>
    </w:pPr>
  </w:style>
  <w:style w:type="character" w:customStyle="1" w:styleId="TACChar">
    <w:name w:val="TAC Char"/>
    <w:link w:val="TAC"/>
    <w:uiPriority w:val="99"/>
    <w:qFormat/>
    <w:locked/>
    <w:rsid w:val="002A4E20"/>
    <w:rPr>
      <w:rFonts w:ascii="Arial" w:hAnsi="Arial" w:cs="Arial"/>
      <w:sz w:val="18"/>
      <w:lang w:val="en-GB"/>
    </w:rPr>
  </w:style>
  <w:style w:type="paragraph" w:customStyle="1" w:styleId="TAC">
    <w:name w:val="TAC"/>
    <w:basedOn w:val="a"/>
    <w:link w:val="TACChar"/>
    <w:uiPriority w:val="99"/>
    <w:qFormat/>
    <w:rsid w:val="002A4E20"/>
    <w:pPr>
      <w:keepNext/>
      <w:keepLines/>
      <w:overflowPunct/>
      <w:autoSpaceDE/>
      <w:autoSpaceDN/>
      <w:adjustRightInd/>
      <w:spacing w:after="0"/>
      <w:jc w:val="center"/>
    </w:pPr>
    <w:rPr>
      <w:rFonts w:ascii="Arial" w:eastAsiaTheme="minorEastAsia" w:hAnsi="Arial" w:cs="Arial"/>
      <w:sz w:val="18"/>
      <w:szCs w:val="22"/>
      <w:lang w:eastAsia="en-US"/>
    </w:rPr>
  </w:style>
  <w:style w:type="paragraph" w:customStyle="1" w:styleId="TAH">
    <w:name w:val="TAH"/>
    <w:basedOn w:val="TAC"/>
    <w:link w:val="TAHCar"/>
    <w:qFormat/>
    <w:rsid w:val="002A4E20"/>
    <w:rPr>
      <w:b/>
    </w:rPr>
  </w:style>
  <w:style w:type="character" w:customStyle="1" w:styleId="TAHCar">
    <w:name w:val="TAH Car"/>
    <w:link w:val="TAH"/>
    <w:qFormat/>
    <w:locked/>
    <w:rsid w:val="002A4E20"/>
    <w:rPr>
      <w:rFonts w:ascii="Arial" w:hAnsi="Arial" w:cs="Arial"/>
      <w:b/>
      <w:sz w:val="18"/>
      <w:lang w:val="en-GB"/>
    </w:rPr>
  </w:style>
  <w:style w:type="character" w:customStyle="1" w:styleId="TANChar">
    <w:name w:val="TAN Char"/>
    <w:link w:val="TAN"/>
    <w:qFormat/>
    <w:locked/>
    <w:rsid w:val="00E65B57"/>
    <w:rPr>
      <w:rFonts w:ascii="Arial" w:hAnsi="Arial" w:cs="Arial"/>
      <w:sz w:val="18"/>
      <w:lang w:val="en-GB"/>
    </w:rPr>
  </w:style>
  <w:style w:type="paragraph" w:customStyle="1" w:styleId="TAN">
    <w:name w:val="TAN"/>
    <w:basedOn w:val="a"/>
    <w:link w:val="TANChar"/>
    <w:qFormat/>
    <w:rsid w:val="00E65B57"/>
    <w:pPr>
      <w:keepNext/>
      <w:keepLines/>
      <w:overflowPunct/>
      <w:autoSpaceDE/>
      <w:autoSpaceDN/>
      <w:adjustRightInd/>
      <w:spacing w:after="0"/>
      <w:ind w:left="851" w:hanging="851"/>
      <w:jc w:val="left"/>
    </w:pPr>
    <w:rPr>
      <w:rFonts w:ascii="Arial" w:eastAsiaTheme="minorEastAsia" w:hAnsi="Arial" w:cs="Arial"/>
      <w:sz w:val="18"/>
      <w:szCs w:val="22"/>
      <w:lang w:eastAsia="en-US"/>
    </w:rPr>
  </w:style>
  <w:style w:type="paragraph" w:customStyle="1" w:styleId="B2">
    <w:name w:val="B2+"/>
    <w:basedOn w:val="B20"/>
    <w:qFormat/>
    <w:rsid w:val="00B44452"/>
    <w:pPr>
      <w:widowControl/>
      <w:numPr>
        <w:numId w:val="46"/>
      </w:numPr>
      <w:tabs>
        <w:tab w:val="clear" w:pos="1191"/>
        <w:tab w:val="left" w:pos="720"/>
      </w:tabs>
      <w:overflowPunct w:val="0"/>
      <w:autoSpaceDE w:val="0"/>
      <w:autoSpaceDN w:val="0"/>
      <w:adjustRightInd w:val="0"/>
      <w:ind w:left="720" w:hanging="360"/>
      <w:jc w:val="left"/>
      <w:textAlignment w:val="baseline"/>
    </w:pPr>
    <w:rPr>
      <w:rFonts w:ascii="Times New Roman" w:eastAsia="宋体"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7492">
      <w:bodyDiv w:val="1"/>
      <w:marLeft w:val="0"/>
      <w:marRight w:val="0"/>
      <w:marTop w:val="0"/>
      <w:marBottom w:val="0"/>
      <w:divBdr>
        <w:top w:val="none" w:sz="0" w:space="0" w:color="auto"/>
        <w:left w:val="none" w:sz="0" w:space="0" w:color="auto"/>
        <w:bottom w:val="none" w:sz="0" w:space="0" w:color="auto"/>
        <w:right w:val="none" w:sz="0" w:space="0" w:color="auto"/>
      </w:divBdr>
    </w:div>
    <w:div w:id="123013668">
      <w:bodyDiv w:val="1"/>
      <w:marLeft w:val="0"/>
      <w:marRight w:val="0"/>
      <w:marTop w:val="0"/>
      <w:marBottom w:val="0"/>
      <w:divBdr>
        <w:top w:val="none" w:sz="0" w:space="0" w:color="auto"/>
        <w:left w:val="none" w:sz="0" w:space="0" w:color="auto"/>
        <w:bottom w:val="none" w:sz="0" w:space="0" w:color="auto"/>
        <w:right w:val="none" w:sz="0" w:space="0" w:color="auto"/>
      </w:divBdr>
    </w:div>
    <w:div w:id="215359089">
      <w:bodyDiv w:val="1"/>
      <w:marLeft w:val="0"/>
      <w:marRight w:val="0"/>
      <w:marTop w:val="0"/>
      <w:marBottom w:val="0"/>
      <w:divBdr>
        <w:top w:val="none" w:sz="0" w:space="0" w:color="auto"/>
        <w:left w:val="none" w:sz="0" w:space="0" w:color="auto"/>
        <w:bottom w:val="none" w:sz="0" w:space="0" w:color="auto"/>
        <w:right w:val="none" w:sz="0" w:space="0" w:color="auto"/>
      </w:divBdr>
    </w:div>
    <w:div w:id="216094620">
      <w:bodyDiv w:val="1"/>
      <w:marLeft w:val="0"/>
      <w:marRight w:val="0"/>
      <w:marTop w:val="0"/>
      <w:marBottom w:val="0"/>
      <w:divBdr>
        <w:top w:val="none" w:sz="0" w:space="0" w:color="auto"/>
        <w:left w:val="none" w:sz="0" w:space="0" w:color="auto"/>
        <w:bottom w:val="none" w:sz="0" w:space="0" w:color="auto"/>
        <w:right w:val="none" w:sz="0" w:space="0" w:color="auto"/>
      </w:divBdr>
    </w:div>
    <w:div w:id="417139376">
      <w:bodyDiv w:val="1"/>
      <w:marLeft w:val="0"/>
      <w:marRight w:val="0"/>
      <w:marTop w:val="0"/>
      <w:marBottom w:val="0"/>
      <w:divBdr>
        <w:top w:val="none" w:sz="0" w:space="0" w:color="auto"/>
        <w:left w:val="none" w:sz="0" w:space="0" w:color="auto"/>
        <w:bottom w:val="none" w:sz="0" w:space="0" w:color="auto"/>
        <w:right w:val="none" w:sz="0" w:space="0" w:color="auto"/>
      </w:divBdr>
    </w:div>
    <w:div w:id="562562926">
      <w:bodyDiv w:val="1"/>
      <w:marLeft w:val="0"/>
      <w:marRight w:val="0"/>
      <w:marTop w:val="0"/>
      <w:marBottom w:val="0"/>
      <w:divBdr>
        <w:top w:val="none" w:sz="0" w:space="0" w:color="auto"/>
        <w:left w:val="none" w:sz="0" w:space="0" w:color="auto"/>
        <w:bottom w:val="none" w:sz="0" w:space="0" w:color="auto"/>
        <w:right w:val="none" w:sz="0" w:space="0" w:color="auto"/>
      </w:divBdr>
    </w:div>
    <w:div w:id="734621743">
      <w:bodyDiv w:val="1"/>
      <w:marLeft w:val="0"/>
      <w:marRight w:val="0"/>
      <w:marTop w:val="0"/>
      <w:marBottom w:val="0"/>
      <w:divBdr>
        <w:top w:val="none" w:sz="0" w:space="0" w:color="auto"/>
        <w:left w:val="none" w:sz="0" w:space="0" w:color="auto"/>
        <w:bottom w:val="none" w:sz="0" w:space="0" w:color="auto"/>
        <w:right w:val="none" w:sz="0" w:space="0" w:color="auto"/>
      </w:divBdr>
    </w:div>
    <w:div w:id="794249828">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391228254">
      <w:bodyDiv w:val="1"/>
      <w:marLeft w:val="0"/>
      <w:marRight w:val="0"/>
      <w:marTop w:val="0"/>
      <w:marBottom w:val="0"/>
      <w:divBdr>
        <w:top w:val="none" w:sz="0" w:space="0" w:color="auto"/>
        <w:left w:val="none" w:sz="0" w:space="0" w:color="auto"/>
        <w:bottom w:val="none" w:sz="0" w:space="0" w:color="auto"/>
        <w:right w:val="none" w:sz="0" w:space="0" w:color="auto"/>
      </w:divBdr>
    </w:div>
    <w:div w:id="1564175030">
      <w:bodyDiv w:val="1"/>
      <w:marLeft w:val="0"/>
      <w:marRight w:val="0"/>
      <w:marTop w:val="0"/>
      <w:marBottom w:val="0"/>
      <w:divBdr>
        <w:top w:val="none" w:sz="0" w:space="0" w:color="auto"/>
        <w:left w:val="none" w:sz="0" w:space="0" w:color="auto"/>
        <w:bottom w:val="none" w:sz="0" w:space="0" w:color="auto"/>
        <w:right w:val="none" w:sz="0" w:space="0" w:color="auto"/>
      </w:divBdr>
    </w:div>
    <w:div w:id="1567378128">
      <w:bodyDiv w:val="1"/>
      <w:marLeft w:val="0"/>
      <w:marRight w:val="0"/>
      <w:marTop w:val="0"/>
      <w:marBottom w:val="0"/>
      <w:divBdr>
        <w:top w:val="none" w:sz="0" w:space="0" w:color="auto"/>
        <w:left w:val="none" w:sz="0" w:space="0" w:color="auto"/>
        <w:bottom w:val="none" w:sz="0" w:space="0" w:color="auto"/>
        <w:right w:val="none" w:sz="0" w:space="0" w:color="auto"/>
      </w:divBdr>
    </w:div>
    <w:div w:id="173651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 Yiru</cp:lastModifiedBy>
  <cp:revision>9</cp:revision>
  <dcterms:created xsi:type="dcterms:W3CDTF">2024-05-09T02:07:00Z</dcterms:created>
  <dcterms:modified xsi:type="dcterms:W3CDTF">2024-05-10T01:59:00Z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(3)lq7g8aPjXuFY7v2iTtUAa7/kD5Ghj5oIa4N0w9iR5vphCE2PLYEU99rKwYmGDrksGCNfdQeI
InWCEtZufT7jKj24TrHHjSZMizSXHeFOveHvXd3x6EjY6INcLvkoKK+ipVgRGfdAubivKe4V
Mvt7QbT2Gq9fhHCEDCBkoXddyiCQ9MK1/OtmMH7DWJd08Q2V0dZtMDWm8MoN8hN7B/j+8yec
Cz9pReKWBursvUW/4c</vt:lpwstr>
  </property>
  <property fmtid="{D5CDD505-2E9C-101B-9397-08002B2CF9AE}" pid="3" name="_2015_ms_pID_7253431">
    <vt:lpwstr>gVgJwMuozxefD0neeyFK4v25B45vooHCqWH0lpytRP+T8VAOMx86iS
C1vR/CSd/r3/Crcw6xfpzT23Ryak8ihoBaffDPJXbzAhECXaNaNCRQTGFNYf8SsnHpHCbpYC
4uWYczr6XrHj6QMFbQgjV+5guvB83/+D/wwqHH//GUKkkghdqQTM2H0O9ma6Tf7EyOrCk8PA
yaWcAO4M8q/PzqomfhqrCANtUvHyMMauViK0</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1714959133</vt:lpwstr>
  </property>
</Properties>
</file>